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E1924">
      <w:pPr>
        <w:pStyle w:val="7"/>
        <w:shd w:val="clear" w:fill="FFFFFF" w:themeFill="background1"/>
        <w:ind w:firstLine="320" w:firstLineChars="100"/>
        <w:jc w:val="center"/>
        <w:rPr>
          <w:rFonts w:hint="eastAsia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报价单</w:t>
      </w:r>
    </w:p>
    <w:p w14:paraId="48C347A0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</w:rPr>
      </w:pPr>
    </w:p>
    <w:p w14:paraId="327430B5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hAnsi="宋体"/>
          <w:color w:val="auto"/>
          <w:sz w:val="24"/>
          <w:szCs w:val="24"/>
          <w:highlight w:val="none"/>
        </w:rPr>
        <w:t>项目</w:t>
      </w:r>
      <w:r>
        <w:rPr>
          <w:rFonts w:hAnsi="宋体"/>
          <w:color w:val="auto"/>
          <w:sz w:val="24"/>
          <w:szCs w:val="24"/>
          <w:highlight w:val="none"/>
        </w:rPr>
        <w:t>名称：</w:t>
      </w:r>
      <w:r>
        <w:rPr>
          <w:rFonts w:hint="eastAsia" w:hAnsi="宋体"/>
          <w:color w:val="auto"/>
          <w:sz w:val="24"/>
          <w:szCs w:val="24"/>
          <w:highlight w:val="none"/>
          <w:lang w:val="en-US" w:eastAsia="zh-CN"/>
        </w:rPr>
        <w:t>淼控生物环保（佛山三水）有限公司经济责任审计辅助服务及增资扩股瀚蓝（佛山三水）生物环保技术有限公司投后评价服务</w:t>
      </w:r>
    </w:p>
    <w:p w14:paraId="5D34CE62">
      <w:pPr>
        <w:pStyle w:val="7"/>
        <w:shd w:val="clear" w:fill="FFFFFF" w:themeFill="background1"/>
        <w:ind w:firstLine="240" w:firstLineChars="100"/>
        <w:rPr>
          <w:rFonts w:hint="eastAsia" w:hAnsi="宋体"/>
          <w:color w:val="auto"/>
          <w:sz w:val="24"/>
          <w:szCs w:val="24"/>
          <w:highlight w:val="none"/>
          <w:lang w:eastAsia="zh-CN"/>
        </w:rPr>
      </w:pPr>
    </w:p>
    <w:tbl>
      <w:tblPr>
        <w:tblStyle w:val="10"/>
        <w:tblW w:w="8492" w:type="dxa"/>
        <w:tblInd w:w="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942"/>
        <w:gridCol w:w="2067"/>
        <w:gridCol w:w="3017"/>
        <w:gridCol w:w="1250"/>
        <w:gridCol w:w="1216"/>
        <w:tblGridChange w:id="0">
          <w:tblGrid>
            <w:gridCol w:w="942"/>
            <w:gridCol w:w="2067"/>
            <w:gridCol w:w="3017"/>
            <w:gridCol w:w="1250"/>
            <w:gridCol w:w="1216"/>
          </w:tblGrid>
        </w:tblGridChange>
      </w:tblGrid>
      <w:tr w14:paraId="14E22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81" w:hRule="atLeast"/>
        </w:trPr>
        <w:tc>
          <w:tcPr>
            <w:tcW w:w="942" w:type="dxa"/>
            <w:noWrap w:val="0"/>
            <w:vAlign w:val="center"/>
          </w:tcPr>
          <w:p w14:paraId="42602F76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 w:eastAsia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2067" w:type="dxa"/>
            <w:noWrap w:val="0"/>
            <w:vAlign w:val="center"/>
          </w:tcPr>
          <w:p w14:paraId="6E8E2BCB">
            <w:pPr>
              <w:shd w:val="clear" w:fill="FFFFFF" w:themeFill="background1"/>
              <w:spacing w:line="480" w:lineRule="exact"/>
              <w:jc w:val="center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报价内容</w:t>
            </w:r>
          </w:p>
        </w:tc>
        <w:tc>
          <w:tcPr>
            <w:tcW w:w="3017" w:type="dxa"/>
            <w:noWrap w:val="0"/>
            <w:vAlign w:val="center"/>
          </w:tcPr>
          <w:p w14:paraId="62B974F5">
            <w:pPr>
              <w:shd w:val="clear" w:fill="FFFFFF" w:themeFill="background1"/>
              <w:spacing w:line="480" w:lineRule="exact"/>
              <w:jc w:val="center"/>
              <w:rPr>
                <w:rFonts w:hint="default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报价金额（含税）（元）</w:t>
            </w:r>
          </w:p>
        </w:tc>
        <w:tc>
          <w:tcPr>
            <w:tcW w:w="1250" w:type="dxa"/>
            <w:noWrap w:val="0"/>
            <w:vAlign w:val="center"/>
          </w:tcPr>
          <w:p w14:paraId="3A15396B">
            <w:pPr>
              <w:shd w:val="clear" w:fill="FFFFFF" w:themeFill="background1"/>
              <w:spacing w:line="480" w:lineRule="exact"/>
              <w:jc w:val="center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税率</w:t>
            </w:r>
          </w:p>
        </w:tc>
        <w:tc>
          <w:tcPr>
            <w:tcW w:w="1216" w:type="dxa"/>
            <w:noWrap w:val="0"/>
            <w:vAlign w:val="center"/>
          </w:tcPr>
          <w:p w14:paraId="6891242D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24A2E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42" w:hRule="atLeast"/>
        </w:trPr>
        <w:tc>
          <w:tcPr>
            <w:tcW w:w="942" w:type="dxa"/>
            <w:noWrap w:val="0"/>
            <w:vAlign w:val="center"/>
          </w:tcPr>
          <w:p w14:paraId="5DB40FAF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  <w:tc>
          <w:tcPr>
            <w:tcW w:w="2067" w:type="dxa"/>
            <w:noWrap w:val="0"/>
            <w:vAlign w:val="center"/>
          </w:tcPr>
          <w:p w14:paraId="7154EB24">
            <w:pPr>
              <w:shd w:val="clear" w:fill="FFFFFF" w:themeFill="background1"/>
              <w:spacing w:line="480" w:lineRule="exact"/>
              <w:jc w:val="center"/>
              <w:rPr>
                <w:rFonts w:hint="eastAsia" w:ascii="宋体" w:cs="宋体"/>
                <w:color w:val="auto"/>
                <w:highlight w:val="none"/>
                <w:lang w:bidi="ar"/>
              </w:rPr>
            </w:pPr>
            <w:r>
              <w:rPr>
                <w:rFonts w:hint="eastAsia" w:ascii="宋体" w:cs="宋体"/>
                <w:color w:val="auto"/>
                <w:highlight w:val="none"/>
                <w:lang w:bidi="ar"/>
              </w:rPr>
              <w:t>淼控生物环保（佛山三水）有限公司经济责任审计辅助服务</w:t>
            </w:r>
          </w:p>
        </w:tc>
        <w:tc>
          <w:tcPr>
            <w:tcW w:w="3017" w:type="dxa"/>
            <w:noWrap w:val="0"/>
            <w:vAlign w:val="center"/>
          </w:tcPr>
          <w:p w14:paraId="569C7D90">
            <w:pPr>
              <w:shd w:val="clear" w:fill="FFFFFF" w:themeFill="background1"/>
              <w:spacing w:line="480" w:lineRule="exact"/>
              <w:jc w:val="left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1FDEFEC4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 </w:t>
            </w:r>
            <w:r>
              <w:rPr>
                <w:rFonts w:hint="eastAsia" w:ascii="宋体" w:cs="宋体"/>
                <w:color w:val="auto"/>
                <w:highlight w:val="none"/>
                <w:u w:val="none"/>
                <w:lang w:val="en-US" w:eastAsia="zh-CN" w:bidi="ar"/>
              </w:rPr>
              <w:t>%</w:t>
            </w:r>
          </w:p>
          <w:p w14:paraId="444C346B"/>
        </w:tc>
        <w:tc>
          <w:tcPr>
            <w:tcW w:w="1216" w:type="dxa"/>
            <w:noWrap w:val="0"/>
            <w:vAlign w:val="center"/>
          </w:tcPr>
          <w:p w14:paraId="28F1BA61">
            <w:pPr>
              <w:shd w:val="clear" w:fill="FFFFFF" w:themeFill="background1"/>
              <w:spacing w:line="480" w:lineRule="exact"/>
              <w:jc w:val="left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BA0B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42" w:hRule="atLeast"/>
        </w:trPr>
        <w:tc>
          <w:tcPr>
            <w:tcW w:w="942" w:type="dxa"/>
            <w:noWrap w:val="0"/>
            <w:vAlign w:val="center"/>
          </w:tcPr>
          <w:p w14:paraId="369B437C">
            <w:pPr>
              <w:shd w:val="clear" w:fill="FFFFFF" w:themeFill="background1"/>
              <w:spacing w:line="480" w:lineRule="exact"/>
              <w:jc w:val="center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2067" w:type="dxa"/>
            <w:noWrap w:val="0"/>
            <w:vAlign w:val="center"/>
          </w:tcPr>
          <w:p w14:paraId="4319D014">
            <w:pPr>
              <w:shd w:val="clear" w:fill="FFFFFF" w:themeFill="background1"/>
              <w:spacing w:line="480" w:lineRule="exact"/>
              <w:jc w:val="center"/>
              <w:rPr>
                <w:rFonts w:hint="eastAsia" w:ascii="宋体" w:cs="宋体"/>
                <w:color w:val="auto"/>
                <w:highlight w:val="none"/>
                <w:lang w:bidi="ar"/>
              </w:rPr>
            </w:pPr>
            <w:r>
              <w:rPr>
                <w:rFonts w:hint="eastAsia" w:ascii="宋体" w:cs="宋体"/>
                <w:color w:val="auto"/>
                <w:highlight w:val="none"/>
                <w:lang w:bidi="ar"/>
              </w:rPr>
              <w:t>增资扩股瀚蓝（佛山三水）生物环保技术有限公司投后评价服务</w:t>
            </w:r>
          </w:p>
        </w:tc>
        <w:tc>
          <w:tcPr>
            <w:tcW w:w="3017" w:type="dxa"/>
            <w:shd w:val="clear"/>
            <w:noWrap w:val="0"/>
            <w:vAlign w:val="center"/>
          </w:tcPr>
          <w:p w14:paraId="10692C2C">
            <w:pPr>
              <w:shd w:val="clear" w:fill="FFFFFF" w:themeFill="background1"/>
              <w:spacing w:line="480" w:lineRule="exact"/>
              <w:jc w:val="left"/>
              <w:rPr>
                <w:rFonts w:hint="eastAsia" w:ascii="Calibri" w:hAnsi="宋体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50" w:type="dxa"/>
            <w:shd w:val="clear"/>
            <w:noWrap w:val="0"/>
            <w:vAlign w:val="center"/>
          </w:tcPr>
          <w:p w14:paraId="23D33B1B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 </w:t>
            </w:r>
            <w:r>
              <w:rPr>
                <w:rFonts w:hint="eastAsia" w:ascii="宋体" w:cs="宋体"/>
                <w:color w:val="auto"/>
                <w:highlight w:val="none"/>
                <w:u w:val="none"/>
                <w:lang w:val="en-US" w:eastAsia="zh-CN" w:bidi="ar"/>
              </w:rPr>
              <w:t>%</w:t>
            </w:r>
          </w:p>
          <w:p w14:paraId="1CE35719">
            <w:pPr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043A29B2">
            <w:pPr>
              <w:shd w:val="clear" w:fill="FFFFFF" w:themeFill="background1"/>
              <w:spacing w:line="480" w:lineRule="exact"/>
              <w:jc w:val="left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065CE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09" w:hRule="atLeast"/>
        </w:trPr>
        <w:tc>
          <w:tcPr>
            <w:tcW w:w="3009" w:type="dxa"/>
            <w:gridSpan w:val="2"/>
            <w:noWrap w:val="0"/>
            <w:vAlign w:val="center"/>
          </w:tcPr>
          <w:p w14:paraId="28723502">
            <w:pPr>
              <w:shd w:val="clear" w:fill="FFFFFF" w:themeFill="background1"/>
              <w:spacing w:line="480" w:lineRule="exact"/>
              <w:jc w:val="center"/>
              <w:rPr>
                <w:rFonts w:hint="eastAsia" w:ascii="宋体" w:eastAsia="宋体" w:cs="宋体"/>
                <w:b/>
                <w:bCs/>
                <w:color w:val="auto"/>
                <w:highlight w:val="none"/>
                <w:lang w:val="en-US" w:eastAsia="zh-CN" w:bidi="ar"/>
              </w:rPr>
            </w:pPr>
            <w:r>
              <w:rPr>
                <w:rFonts w:hint="eastAsia" w:ascii="宋体" w:cs="宋体"/>
                <w:b/>
                <w:bCs/>
                <w:color w:val="auto"/>
                <w:highlight w:val="none"/>
                <w:lang w:val="en-US" w:eastAsia="zh-CN" w:bidi="ar"/>
              </w:rPr>
              <w:t>合计</w:t>
            </w:r>
            <w:r>
              <w:rPr>
                <w:rFonts w:hint="eastAsia" w:hAnsi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（1+2）</w:t>
            </w:r>
          </w:p>
        </w:tc>
        <w:tc>
          <w:tcPr>
            <w:tcW w:w="3017" w:type="dxa"/>
            <w:shd w:val="clear" w:color="auto" w:fill="auto"/>
            <w:noWrap w:val="0"/>
            <w:vAlign w:val="center"/>
          </w:tcPr>
          <w:p w14:paraId="3A7B2043">
            <w:pPr>
              <w:shd w:val="clear" w:fill="FFFFFF" w:themeFill="background1"/>
              <w:spacing w:line="480" w:lineRule="exact"/>
              <w:jc w:val="left"/>
              <w:rPr>
                <w:rFonts w:hint="eastAsia" w:ascii="Calibri" w:hAnsi="宋体" w:eastAsia="宋体" w:cs="Times New Roman"/>
                <w:b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50" w:type="dxa"/>
            <w:shd w:val="clear" w:color="auto" w:fill="auto"/>
            <w:noWrap w:val="0"/>
            <w:vAlign w:val="center"/>
          </w:tcPr>
          <w:p w14:paraId="14C1A7CD">
            <w:pPr>
              <w:shd w:val="clear" w:fill="FFFFFF" w:themeFill="background1"/>
              <w:spacing w:line="480" w:lineRule="exact"/>
              <w:jc w:val="center"/>
              <w:rPr>
                <w:rFonts w:hint="eastAsia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ascii="宋体" w:cs="宋体"/>
                <w:color w:val="auto"/>
                <w:highlight w:val="none"/>
                <w:u w:val="single"/>
                <w:lang w:bidi="ar"/>
              </w:rPr>
              <w:t xml:space="preserve">    </w:t>
            </w:r>
            <w:r>
              <w:rPr>
                <w:rFonts w:hint="eastAsia" w:ascii="宋体" w:cs="宋体"/>
                <w:color w:val="auto"/>
                <w:highlight w:val="none"/>
                <w:u w:val="none"/>
                <w:lang w:val="en-US" w:eastAsia="zh-CN" w:bidi="ar"/>
              </w:rPr>
              <w:t>%</w:t>
            </w:r>
          </w:p>
          <w:p w14:paraId="5AB4AA18">
            <w:pPr>
              <w:rPr>
                <w:rFonts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16" w:type="dxa"/>
            <w:noWrap w:val="0"/>
            <w:vAlign w:val="center"/>
          </w:tcPr>
          <w:p w14:paraId="713297ED">
            <w:pPr>
              <w:shd w:val="clear" w:fill="FFFFFF" w:themeFill="background1"/>
              <w:spacing w:line="480" w:lineRule="exact"/>
              <w:jc w:val="left"/>
              <w:rPr>
                <w:rFonts w:hint="default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33854684">
      <w:pPr>
        <w:pStyle w:val="7"/>
        <w:shd w:val="clear" w:fill="FFFFFF" w:themeFill="background1"/>
        <w:ind w:firstLine="210" w:firstLineChars="100"/>
        <w:rPr>
          <w:rFonts w:hAnsi="宋体"/>
          <w:color w:val="auto"/>
          <w:highlight w:val="none"/>
        </w:rPr>
      </w:pPr>
      <w:r>
        <w:rPr>
          <w:rFonts w:hAnsi="宋体"/>
          <w:color w:val="auto"/>
          <w:highlight w:val="none"/>
        </w:rPr>
        <w:t xml:space="preserve">                                   </w:t>
      </w:r>
    </w:p>
    <w:p w14:paraId="68A648D8">
      <w:pPr>
        <w:numPr>
          <w:ilvl w:val="-1"/>
          <w:numId w:val="0"/>
        </w:numPr>
        <w:ind w:firstLine="480" w:firstLineChars="200"/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注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eastAsia="zh-CN"/>
        </w:rPr>
        <w:t>：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1.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合同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总价为包干总价，包括但不限于合同项下的相关税费、劳务费、资料费、人工成本（含社保公积金等）、企业远程及现场实施费、技术成果使用费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以及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本项目包含的所有风险、责任以及本项目实施过程中不可预见的一切费用等。合作期间，</w:t>
      </w:r>
      <w:r>
        <w:rPr>
          <w:rFonts w:hint="eastAsia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采购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  <w:lang w:val="en-US" w:eastAsia="zh-CN"/>
        </w:rPr>
        <w:t>人</w:t>
      </w:r>
      <w:r>
        <w:rPr>
          <w:rFonts w:hint="default" w:ascii="仿宋_GB2312" w:hAnsi="Times New Roman" w:eastAsia="仿宋_GB2312" w:cs="Times New Roman"/>
          <w:b w:val="0"/>
          <w:bCs w:val="0"/>
          <w:sz w:val="24"/>
          <w:szCs w:val="24"/>
          <w:highlight w:val="none"/>
        </w:rPr>
        <w:t>不再支付任何其他费用。</w:t>
      </w:r>
    </w:p>
    <w:p w14:paraId="6FE8F87E">
      <w:pPr>
        <w:numPr>
          <w:ilvl w:val="0"/>
          <w:numId w:val="1"/>
        </w:num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投标报价以元为单位，保留两位小数。</w:t>
      </w:r>
    </w:p>
    <w:p w14:paraId="271A55B2">
      <w:pPr>
        <w:numPr>
          <w:ilvl w:val="0"/>
          <w:numId w:val="1"/>
        </w:numPr>
        <w:ind w:firstLine="480" w:firstLineChars="200"/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如果以上内容无法满足投标单位对报价的描述，可自行添加包含在价格因素在内的一切内容。</w:t>
      </w:r>
    </w:p>
    <w:p w14:paraId="0BF4014C">
      <w:pPr>
        <w:numPr>
          <w:ilvl w:val="0"/>
          <w:numId w:val="1"/>
        </w:numPr>
        <w:ind w:firstLine="480" w:firstLineChars="200"/>
        <w:rPr>
          <w:rFonts w:hint="eastAsia" w:hAnsi="宋体"/>
          <w:color w:val="auto"/>
          <w:highlight w:val="none"/>
        </w:rPr>
      </w:pPr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本项目</w:t>
      </w:r>
      <w:bookmarkStart w:id="0" w:name="_GoBack"/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由合计总报价最低者中标</w:t>
      </w:r>
      <w:bookmarkEnd w:id="0"/>
      <w:r>
        <w:rPr>
          <w:rFonts w:hint="eastAsia" w:ascii="仿宋_GB2312" w:hAnsi="Times New Roman" w:eastAsia="仿宋_GB2312" w:cs="Times New Roman"/>
          <w:sz w:val="24"/>
          <w:szCs w:val="24"/>
          <w:highlight w:val="none"/>
          <w:lang w:val="en-US" w:eastAsia="zh-CN"/>
        </w:rPr>
        <w:t>。</w:t>
      </w:r>
    </w:p>
    <w:p w14:paraId="55AEED05">
      <w:pPr>
        <w:pStyle w:val="7"/>
        <w:shd w:val="clear" w:fill="FFFFFF" w:themeFill="background1"/>
        <w:spacing w:line="360" w:lineRule="atLeast"/>
        <w:rPr>
          <w:rFonts w:hint="eastAsia" w:hAnsi="宋体"/>
          <w:color w:val="auto"/>
          <w:highlight w:val="none"/>
        </w:rPr>
      </w:pPr>
    </w:p>
    <w:p w14:paraId="29607DF9">
      <w:pPr>
        <w:spacing w:line="360" w:lineRule="auto"/>
        <w:ind w:firstLine="3150" w:firstLineChars="15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投标单位（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盖章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</w:t>
      </w:r>
    </w:p>
    <w:p w14:paraId="01FDAE3F">
      <w:pPr>
        <w:spacing w:line="360" w:lineRule="auto"/>
        <w:ind w:firstLine="3150" w:firstLineChars="1500"/>
        <w:rPr>
          <w:rFonts w:hint="eastAsia"/>
          <w:color w:val="auto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法定代表人或代理人（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签名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）：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  </w:t>
      </w:r>
    </w:p>
    <w:p w14:paraId="66F7A662">
      <w:pPr>
        <w:spacing w:line="360" w:lineRule="auto"/>
        <w:ind w:firstLine="3150" w:firstLineChars="1500"/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u w:val="none"/>
          <w:lang w:val="en-US" w:eastAsia="zh-CN"/>
        </w:rPr>
        <w:t>联系人及电话：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             </w:t>
      </w:r>
    </w:p>
    <w:p w14:paraId="7A048D5F">
      <w:pPr>
        <w:pStyle w:val="2"/>
        <w:ind w:left="0" w:leftChars="0" w:firstLine="0" w:firstLineChars="0"/>
        <w:jc w:val="right"/>
        <w:rPr>
          <w:rFonts w:hint="default"/>
          <w:lang w:val="en-US" w:eastAsia="zh-CN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日</w:t>
      </w:r>
    </w:p>
    <w:p w14:paraId="13CD0771">
      <w:pPr>
        <w:pStyle w:val="9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D96A3"/>
    <w:multiLevelType w:val="singleLevel"/>
    <w:tmpl w:val="ABED96A3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3NDE1NjFjZGZjM2EyYjgzZmUzN2QxOGExYzg0NmYifQ=="/>
  </w:docVars>
  <w:rsids>
    <w:rsidRoot w:val="00EA0B18"/>
    <w:rsid w:val="00070FC8"/>
    <w:rsid w:val="0053698B"/>
    <w:rsid w:val="00772BBA"/>
    <w:rsid w:val="00996EF7"/>
    <w:rsid w:val="00C85688"/>
    <w:rsid w:val="00E979B3"/>
    <w:rsid w:val="00EA0B18"/>
    <w:rsid w:val="020532D6"/>
    <w:rsid w:val="038606E3"/>
    <w:rsid w:val="038C6E7C"/>
    <w:rsid w:val="03B95300"/>
    <w:rsid w:val="047E1793"/>
    <w:rsid w:val="047F470E"/>
    <w:rsid w:val="04B33904"/>
    <w:rsid w:val="059A6453"/>
    <w:rsid w:val="05C5154A"/>
    <w:rsid w:val="08052DE6"/>
    <w:rsid w:val="080A2903"/>
    <w:rsid w:val="08B25578"/>
    <w:rsid w:val="0B2341D2"/>
    <w:rsid w:val="0B9C74B8"/>
    <w:rsid w:val="0C602DB0"/>
    <w:rsid w:val="0D0060E5"/>
    <w:rsid w:val="0E5E3E70"/>
    <w:rsid w:val="0E8E589D"/>
    <w:rsid w:val="0EE97B6F"/>
    <w:rsid w:val="0EFF64D1"/>
    <w:rsid w:val="0F847EDD"/>
    <w:rsid w:val="11155D3F"/>
    <w:rsid w:val="11797BA1"/>
    <w:rsid w:val="12502BA9"/>
    <w:rsid w:val="1255650F"/>
    <w:rsid w:val="12A34B9C"/>
    <w:rsid w:val="12E2190B"/>
    <w:rsid w:val="13124A20"/>
    <w:rsid w:val="13604DE4"/>
    <w:rsid w:val="14302F3B"/>
    <w:rsid w:val="14465D74"/>
    <w:rsid w:val="14DB5CE3"/>
    <w:rsid w:val="15E247C5"/>
    <w:rsid w:val="16221853"/>
    <w:rsid w:val="162B5273"/>
    <w:rsid w:val="165D65CA"/>
    <w:rsid w:val="166A3B99"/>
    <w:rsid w:val="175A11DB"/>
    <w:rsid w:val="176C4F9E"/>
    <w:rsid w:val="17800EAB"/>
    <w:rsid w:val="178B2844"/>
    <w:rsid w:val="17BE47F2"/>
    <w:rsid w:val="180E7D00"/>
    <w:rsid w:val="1828335D"/>
    <w:rsid w:val="182B620F"/>
    <w:rsid w:val="1845305F"/>
    <w:rsid w:val="199B59BE"/>
    <w:rsid w:val="1A245680"/>
    <w:rsid w:val="1A3E65CC"/>
    <w:rsid w:val="1A964BB9"/>
    <w:rsid w:val="1A9C1E82"/>
    <w:rsid w:val="1B681A16"/>
    <w:rsid w:val="1C124F3E"/>
    <w:rsid w:val="1C4C4D28"/>
    <w:rsid w:val="1C647DDB"/>
    <w:rsid w:val="1D0E719A"/>
    <w:rsid w:val="1D3B3397"/>
    <w:rsid w:val="1D635CFD"/>
    <w:rsid w:val="1EE65FBC"/>
    <w:rsid w:val="1F3E1138"/>
    <w:rsid w:val="219A16D8"/>
    <w:rsid w:val="21A140DF"/>
    <w:rsid w:val="21EB080F"/>
    <w:rsid w:val="22734472"/>
    <w:rsid w:val="22B152AD"/>
    <w:rsid w:val="2355768F"/>
    <w:rsid w:val="23AB06A8"/>
    <w:rsid w:val="244159AA"/>
    <w:rsid w:val="253E4F17"/>
    <w:rsid w:val="27AC2F76"/>
    <w:rsid w:val="28562B52"/>
    <w:rsid w:val="28BA26E7"/>
    <w:rsid w:val="2AD7312B"/>
    <w:rsid w:val="2AEA56B9"/>
    <w:rsid w:val="2B815468"/>
    <w:rsid w:val="2BD56557"/>
    <w:rsid w:val="2D26776F"/>
    <w:rsid w:val="2D774E41"/>
    <w:rsid w:val="2F8F2CB7"/>
    <w:rsid w:val="32D260F7"/>
    <w:rsid w:val="331F1D70"/>
    <w:rsid w:val="340057D7"/>
    <w:rsid w:val="343E3035"/>
    <w:rsid w:val="34910C84"/>
    <w:rsid w:val="34D348B8"/>
    <w:rsid w:val="35C23B2E"/>
    <w:rsid w:val="37012717"/>
    <w:rsid w:val="37363092"/>
    <w:rsid w:val="38331AD4"/>
    <w:rsid w:val="38C83500"/>
    <w:rsid w:val="390522AE"/>
    <w:rsid w:val="397E2132"/>
    <w:rsid w:val="39E31EE5"/>
    <w:rsid w:val="3AC136BC"/>
    <w:rsid w:val="3B6435E9"/>
    <w:rsid w:val="3B8D0D73"/>
    <w:rsid w:val="3E92592E"/>
    <w:rsid w:val="3E970291"/>
    <w:rsid w:val="3EA411A2"/>
    <w:rsid w:val="3EA550A7"/>
    <w:rsid w:val="3FBE2FB6"/>
    <w:rsid w:val="40BC06D8"/>
    <w:rsid w:val="416C0EA4"/>
    <w:rsid w:val="41E61194"/>
    <w:rsid w:val="41F811B5"/>
    <w:rsid w:val="42077C21"/>
    <w:rsid w:val="42731488"/>
    <w:rsid w:val="42D17A58"/>
    <w:rsid w:val="438F2754"/>
    <w:rsid w:val="45F93B17"/>
    <w:rsid w:val="46203AF7"/>
    <w:rsid w:val="46B03CC9"/>
    <w:rsid w:val="46F25D7C"/>
    <w:rsid w:val="46F774CE"/>
    <w:rsid w:val="47C76193"/>
    <w:rsid w:val="48A617F4"/>
    <w:rsid w:val="49523183"/>
    <w:rsid w:val="495661BF"/>
    <w:rsid w:val="49695077"/>
    <w:rsid w:val="49717BFA"/>
    <w:rsid w:val="499D180F"/>
    <w:rsid w:val="49DC72B9"/>
    <w:rsid w:val="4B775C0B"/>
    <w:rsid w:val="4D965BE8"/>
    <w:rsid w:val="4EAD5635"/>
    <w:rsid w:val="4F815096"/>
    <w:rsid w:val="4FAB550D"/>
    <w:rsid w:val="50D705DB"/>
    <w:rsid w:val="513574A2"/>
    <w:rsid w:val="515D4069"/>
    <w:rsid w:val="515E528B"/>
    <w:rsid w:val="519A065A"/>
    <w:rsid w:val="5268410A"/>
    <w:rsid w:val="533C65BF"/>
    <w:rsid w:val="56572F45"/>
    <w:rsid w:val="565D4577"/>
    <w:rsid w:val="57EF5B4F"/>
    <w:rsid w:val="580931B8"/>
    <w:rsid w:val="580C3CF9"/>
    <w:rsid w:val="5815508E"/>
    <w:rsid w:val="583D326A"/>
    <w:rsid w:val="588B2B5D"/>
    <w:rsid w:val="58CD3249"/>
    <w:rsid w:val="59262959"/>
    <w:rsid w:val="59451831"/>
    <w:rsid w:val="59972D02"/>
    <w:rsid w:val="59B901F2"/>
    <w:rsid w:val="59BA2A77"/>
    <w:rsid w:val="5A4C7F28"/>
    <w:rsid w:val="5A7F3DFC"/>
    <w:rsid w:val="5AA9356E"/>
    <w:rsid w:val="5AF30626"/>
    <w:rsid w:val="5CAB7E0D"/>
    <w:rsid w:val="5D0E48BE"/>
    <w:rsid w:val="5D6B59FB"/>
    <w:rsid w:val="5D890870"/>
    <w:rsid w:val="5E863DDA"/>
    <w:rsid w:val="5EB17BD4"/>
    <w:rsid w:val="5F6E3040"/>
    <w:rsid w:val="5F8E16DF"/>
    <w:rsid w:val="600A1141"/>
    <w:rsid w:val="603E09FB"/>
    <w:rsid w:val="60D8438F"/>
    <w:rsid w:val="61C85E36"/>
    <w:rsid w:val="621C36C4"/>
    <w:rsid w:val="632720F4"/>
    <w:rsid w:val="64025501"/>
    <w:rsid w:val="64426793"/>
    <w:rsid w:val="64585C38"/>
    <w:rsid w:val="645E38EF"/>
    <w:rsid w:val="649B6580"/>
    <w:rsid w:val="654E28A7"/>
    <w:rsid w:val="662A1F26"/>
    <w:rsid w:val="67484918"/>
    <w:rsid w:val="68E8562C"/>
    <w:rsid w:val="691C23DE"/>
    <w:rsid w:val="6A4A3BBF"/>
    <w:rsid w:val="6A5324EC"/>
    <w:rsid w:val="6AA20B1A"/>
    <w:rsid w:val="6AC340FA"/>
    <w:rsid w:val="6B6561F7"/>
    <w:rsid w:val="6B656486"/>
    <w:rsid w:val="6B955B91"/>
    <w:rsid w:val="6B992A05"/>
    <w:rsid w:val="6C9E35BD"/>
    <w:rsid w:val="6CAF78C1"/>
    <w:rsid w:val="6CDF4CE8"/>
    <w:rsid w:val="6D303210"/>
    <w:rsid w:val="6D930A8A"/>
    <w:rsid w:val="6D9504AF"/>
    <w:rsid w:val="6DAD55F2"/>
    <w:rsid w:val="6DEF2340"/>
    <w:rsid w:val="6E406BEC"/>
    <w:rsid w:val="6F18743B"/>
    <w:rsid w:val="6F4658A2"/>
    <w:rsid w:val="6F8A0D93"/>
    <w:rsid w:val="6FA15C20"/>
    <w:rsid w:val="6FF45107"/>
    <w:rsid w:val="700F0CD9"/>
    <w:rsid w:val="703D2CED"/>
    <w:rsid w:val="70945543"/>
    <w:rsid w:val="71ED53C5"/>
    <w:rsid w:val="72016718"/>
    <w:rsid w:val="726008B5"/>
    <w:rsid w:val="72B40081"/>
    <w:rsid w:val="733D76FF"/>
    <w:rsid w:val="738C441D"/>
    <w:rsid w:val="74B0683E"/>
    <w:rsid w:val="74FB6037"/>
    <w:rsid w:val="75022BDD"/>
    <w:rsid w:val="75656D50"/>
    <w:rsid w:val="76A4083A"/>
    <w:rsid w:val="772268FD"/>
    <w:rsid w:val="77DF044B"/>
    <w:rsid w:val="78271D9A"/>
    <w:rsid w:val="788624EC"/>
    <w:rsid w:val="7A232CF4"/>
    <w:rsid w:val="7B045D2D"/>
    <w:rsid w:val="7BF93C47"/>
    <w:rsid w:val="7C49086E"/>
    <w:rsid w:val="7CFA5391"/>
    <w:rsid w:val="7D3C16AE"/>
    <w:rsid w:val="7D7701B6"/>
    <w:rsid w:val="7D7A3276"/>
    <w:rsid w:val="7D814A4B"/>
    <w:rsid w:val="7E8104AE"/>
    <w:rsid w:val="7E95008B"/>
    <w:rsid w:val="7EA73659"/>
    <w:rsid w:val="7F1A36DC"/>
    <w:rsid w:val="7F321818"/>
    <w:rsid w:val="7F7B5CFB"/>
    <w:rsid w:val="7FCE7091"/>
    <w:rsid w:val="7FFB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widowControl/>
      <w:spacing w:after="120"/>
      <w:jc w:val="left"/>
    </w:pPr>
    <w:rPr>
      <w:rFonts w:ascii="Times New Roman" w:hAnsi="Times New Roman"/>
      <w:kern w:val="0"/>
      <w:sz w:val="20"/>
      <w:szCs w:val="24"/>
    </w:rPr>
  </w:style>
  <w:style w:type="paragraph" w:styleId="4">
    <w:name w:val="Body Text Indent 2"/>
    <w:basedOn w:val="1"/>
    <w:next w:val="5"/>
    <w:qFormat/>
    <w:uiPriority w:val="0"/>
    <w:pPr>
      <w:ind w:firstLine="539" w:firstLineChars="174"/>
    </w:pPr>
    <w:rPr>
      <w:rFonts w:ascii="仿宋_GB2312" w:eastAsia="仿宋_GB2312"/>
      <w:sz w:val="31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  <w:rPr>
      <w:szCs w:val="24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Body Text First Indent"/>
    <w:basedOn w:val="3"/>
    <w:next w:val="1"/>
    <w:qFormat/>
    <w:uiPriority w:val="0"/>
    <w:pPr>
      <w:ind w:firstLine="680"/>
    </w:pPr>
    <w:rPr>
      <w:kern w:val="44"/>
    </w:rPr>
  </w:style>
  <w:style w:type="paragraph" w:styleId="9">
    <w:name w:val="Body Text First Indent 2"/>
    <w:basedOn w:val="6"/>
    <w:qFormat/>
    <w:uiPriority w:val="0"/>
    <w:pPr>
      <w:adjustRightInd/>
      <w:snapToGrid/>
      <w:spacing w:after="120" w:line="240" w:lineRule="auto"/>
      <w:ind w:left="420" w:leftChars="200" w:firstLine="210" w:firstLineChars="200"/>
      <w:textAlignment w:val="auto"/>
    </w:pPr>
    <w:rPr>
      <w:rFonts w:ascii="Times New Roman" w:hAnsi="Times New Roman"/>
      <w:kern w:val="2"/>
      <w:sz w:val="21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正文(首行缩进)"/>
    <w:basedOn w:val="1"/>
    <w:qFormat/>
    <w:uiPriority w:val="0"/>
    <w:pPr>
      <w:spacing w:line="360" w:lineRule="auto"/>
      <w:ind w:firstLine="510"/>
    </w:pPr>
    <w:rPr>
      <w:rFonts w:ascii="宋体" w:hAnsi="宋体"/>
      <w:kern w:val="0"/>
      <w:sz w:val="24"/>
      <w:szCs w:val="24"/>
    </w:rPr>
  </w:style>
  <w:style w:type="paragraph" w:customStyle="1" w:styleId="14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character" w:customStyle="1" w:styleId="15">
    <w:name w:val="font3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2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8">
    <w:name w:val="文本块1"/>
    <w:basedOn w:val="1"/>
    <w:qFormat/>
    <w:uiPriority w:val="0"/>
    <w:pPr>
      <w:spacing w:after="120"/>
      <w:ind w:left="1440" w:leftChars="700" w:right="1440" w:rightChars="700"/>
    </w:pPr>
  </w:style>
  <w:style w:type="paragraph" w:customStyle="1" w:styleId="19">
    <w:name w:val=" Char"/>
    <w:basedOn w:val="1"/>
    <w:next w:val="1"/>
    <w:qFormat/>
    <w:uiPriority w:val="0"/>
    <w:pPr>
      <w:tabs>
        <w:tab w:val="left" w:pos="720"/>
      </w:tabs>
      <w:ind w:left="432" w:hanging="432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281</Characters>
  <Lines>5</Lines>
  <Paragraphs>1</Paragraphs>
  <TotalTime>3</TotalTime>
  <ScaleCrop>false</ScaleCrop>
  <LinksUpToDate>false</LinksUpToDate>
  <CharactersWithSpaces>453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yssjbgyj</dc:creator>
  <cp:lastModifiedBy>龙敏</cp:lastModifiedBy>
  <cp:lastPrinted>2025-06-17T09:20:00Z</cp:lastPrinted>
  <dcterms:modified xsi:type="dcterms:W3CDTF">2026-05-20T08:29:18Z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ACF54E5A3EDA43E0A0843827E04BA609_13</vt:lpwstr>
  </property>
  <property fmtid="{D5CDD505-2E9C-101B-9397-08002B2CF9AE}" pid="4" name="KSOTemplateDocerSaveRecord">
    <vt:lpwstr>eyJoZGlkIjoiZjdiMjZjOTFkZTFhYmQxNWNiNWM1ZmM1ODg4NmVhNTIiLCJ1c2VySWQiOiIxMTA2MzQxODAxIn0=</vt:lpwstr>
  </property>
</Properties>
</file>