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3D8EC6">
      <w:pPr>
        <w:keepNext/>
        <w:keepLines/>
        <w:autoSpaceDE w:val="0"/>
        <w:spacing w:line="360" w:lineRule="auto"/>
        <w:jc w:val="center"/>
        <w:outlineLvl w:val="1"/>
        <w:rPr>
          <w:rFonts w:hint="default" w:ascii="Arial" w:hAnsi="Arial" w:eastAsia="微软雅黑"/>
          <w:b/>
          <w:spacing w:val="17"/>
          <w:sz w:val="20"/>
          <w:szCs w:val="20"/>
          <w:u w:val="single"/>
          <w:lang w:val="en-US" w:eastAsia="zh-CN"/>
        </w:rPr>
      </w:pPr>
      <w:r>
        <w:rPr>
          <w:rFonts w:hint="eastAsia" w:ascii="微软雅黑" w:hAnsi="微软雅黑" w:eastAsia="微软雅黑"/>
          <w:b/>
          <w:color w:val="000000"/>
          <w:sz w:val="36"/>
          <w:szCs w:val="36"/>
          <w:u w:val="single"/>
        </w:rPr>
        <w:t>有机废物生物转化利用项目</w:t>
      </w:r>
      <w:r>
        <w:rPr>
          <w:rFonts w:hint="eastAsia" w:ascii="微软雅黑" w:hAnsi="微软雅黑" w:eastAsia="微软雅黑"/>
          <w:b/>
          <w:color w:val="000000"/>
          <w:sz w:val="36"/>
          <w:szCs w:val="36"/>
          <w:u w:val="single"/>
          <w:lang w:eastAsia="zh-CN"/>
        </w:rPr>
        <w:t>（</w:t>
      </w:r>
      <w:r>
        <w:rPr>
          <w:rFonts w:hint="eastAsia" w:ascii="微软雅黑" w:hAnsi="微软雅黑" w:eastAsia="微软雅黑"/>
          <w:b/>
          <w:color w:val="000000"/>
          <w:sz w:val="36"/>
          <w:szCs w:val="36"/>
          <w:u w:val="single"/>
        </w:rPr>
        <w:t>电子地磅</w:t>
      </w:r>
      <w:r>
        <w:rPr>
          <w:rFonts w:hint="eastAsia" w:ascii="微软雅黑" w:hAnsi="微软雅黑" w:eastAsia="微软雅黑"/>
          <w:b/>
          <w:color w:val="000000"/>
          <w:sz w:val="36"/>
          <w:szCs w:val="36"/>
          <w:u w:val="single"/>
          <w:lang w:eastAsia="zh-CN"/>
        </w:rPr>
        <w:t>）</w:t>
      </w:r>
      <w:r>
        <w:rPr>
          <w:rFonts w:hint="eastAsia" w:ascii="微软雅黑" w:hAnsi="微软雅黑" w:eastAsia="微软雅黑"/>
          <w:b/>
          <w:bCs/>
          <w:color w:val="000000"/>
          <w:sz w:val="36"/>
          <w:szCs w:val="36"/>
          <w:u w:val="single"/>
          <w:lang w:val="en-US" w:eastAsia="zh-CN"/>
        </w:rPr>
        <w:t>技术参数要求</w:t>
      </w:r>
    </w:p>
    <w:p w14:paraId="0E7DF540"/>
    <w:tbl>
      <w:tblPr>
        <w:tblStyle w:val="2"/>
        <w:tblpPr w:leftFromText="180" w:rightFromText="180" w:vertAnchor="text" w:horzAnchor="page" w:tblpXSpec="center" w:tblpY="292"/>
        <w:tblOverlap w:val="never"/>
        <w:tblW w:w="930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946"/>
        <w:gridCol w:w="1650"/>
        <w:gridCol w:w="5150"/>
        <w:gridCol w:w="1562"/>
      </w:tblGrid>
      <w:tr w14:paraId="3CE7B7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961" w:hRule="atLeast"/>
          <w:jc w:val="center"/>
        </w:trPr>
        <w:tc>
          <w:tcPr>
            <w:tcW w:w="946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7FF65564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i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Cs/>
                <w:color w:val="auto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1650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3C0FB583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Cs/>
                <w:color w:val="auto"/>
                <w:sz w:val="24"/>
                <w:szCs w:val="24"/>
              </w:rPr>
              <w:t>物资名称</w:t>
            </w:r>
          </w:p>
        </w:tc>
        <w:tc>
          <w:tcPr>
            <w:tcW w:w="5150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 w14:paraId="3D4F31CE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iCs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Cs/>
                <w:color w:val="auto"/>
                <w:sz w:val="24"/>
                <w:szCs w:val="24"/>
              </w:rPr>
              <w:t>型号规格</w:t>
            </w:r>
          </w:p>
        </w:tc>
        <w:tc>
          <w:tcPr>
            <w:tcW w:w="156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B73148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iCs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Cs/>
                <w:color w:val="auto"/>
                <w:sz w:val="24"/>
                <w:szCs w:val="24"/>
              </w:rPr>
              <w:t>数量</w:t>
            </w:r>
          </w:p>
        </w:tc>
      </w:tr>
      <w:tr w14:paraId="71FDDD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7141" w:hRule="atLeast"/>
          <w:jc w:val="center"/>
        </w:trPr>
        <w:tc>
          <w:tcPr>
            <w:tcW w:w="946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67B38EB1">
            <w:pPr>
              <w:ind w:left="218" w:leftChars="104" w:right="105" w:rightChars="5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Cs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650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77B76C61">
            <w:pPr>
              <w:ind w:left="218" w:leftChars="104" w:right="105" w:rightChars="5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Cs/>
                <w:iCs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Cs/>
                <w:color w:val="auto"/>
                <w:sz w:val="24"/>
                <w:szCs w:val="24"/>
              </w:rPr>
              <w:t>全钢秤台</w:t>
            </w:r>
          </w:p>
        </w:tc>
        <w:tc>
          <w:tcPr>
            <w:tcW w:w="5150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 w14:paraId="52204675">
            <w:pPr>
              <w:spacing w:line="340" w:lineRule="exact"/>
              <w:ind w:right="105" w:rightChars="50"/>
              <w:rPr>
                <w:rFonts w:hint="eastAsia" w:asciiTheme="minorEastAsia" w:hAnsiTheme="minorEastAsia" w:eastAsiaTheme="minorEastAsia" w:cstheme="minorEastAsia"/>
                <w:iCs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Cs/>
                <w:color w:val="auto"/>
                <w:sz w:val="24"/>
                <w:szCs w:val="24"/>
              </w:rPr>
              <w:t>①外形尺寸：台面净尺寸 3m×18m，采用 3 节模块化拼装结构；</w:t>
            </w:r>
          </w:p>
          <w:p w14:paraId="16B66D00">
            <w:pPr>
              <w:spacing w:line="340" w:lineRule="exact"/>
              <w:ind w:right="105" w:rightChars="50"/>
              <w:rPr>
                <w:rFonts w:hint="eastAsia" w:asciiTheme="minorEastAsia" w:hAnsiTheme="minorEastAsia" w:eastAsiaTheme="minorEastAsia" w:cstheme="minorEastAsia"/>
                <w:iCs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Cs/>
                <w:color w:val="auto"/>
                <w:sz w:val="24"/>
                <w:szCs w:val="24"/>
              </w:rPr>
              <w:t>②主体钢材：Q235 优质碳素钢，面板厚度 12mm（公差 ±0.3mm），配置 6 条 U 型主梁，主梁板长 750mm、高度 300mm；</w:t>
            </w:r>
          </w:p>
          <w:p w14:paraId="7D234C52">
            <w:pPr>
              <w:spacing w:line="340" w:lineRule="exact"/>
              <w:ind w:right="105" w:rightChars="50"/>
              <w:rPr>
                <w:rFonts w:hint="eastAsia" w:asciiTheme="minorEastAsia" w:hAnsiTheme="minorEastAsia" w:eastAsiaTheme="minorEastAsia" w:cstheme="minorEastAsia"/>
                <w:iCs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Cs/>
                <w:color w:val="auto"/>
                <w:sz w:val="24"/>
                <w:szCs w:val="24"/>
              </w:rPr>
              <w:t>③结构形式：整体模块化 U 型梁承重结构，刚性强、抗冲击；</w:t>
            </w:r>
          </w:p>
          <w:p w14:paraId="51B01CA7">
            <w:pPr>
              <w:spacing w:line="340" w:lineRule="exact"/>
              <w:ind w:right="105" w:rightChars="50"/>
              <w:rPr>
                <w:rFonts w:hint="eastAsia" w:asciiTheme="minorEastAsia" w:hAnsiTheme="minorEastAsia" w:eastAsiaTheme="minorEastAsia" w:cstheme="minorEastAsia"/>
                <w:iCs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Cs/>
                <w:color w:val="auto"/>
                <w:sz w:val="24"/>
                <w:szCs w:val="24"/>
              </w:rPr>
              <w:t>④防腐工艺：整体喷砂除锈 + 多层防腐喷涂处理，适应户外露天长期使用；</w:t>
            </w:r>
          </w:p>
          <w:p w14:paraId="26B20C98">
            <w:pPr>
              <w:spacing w:line="340" w:lineRule="exact"/>
              <w:ind w:right="105" w:rightChars="50"/>
              <w:rPr>
                <w:rFonts w:hint="eastAsia" w:asciiTheme="minorEastAsia" w:hAnsiTheme="minorEastAsia" w:eastAsiaTheme="minorEastAsia" w:cstheme="minorEastAsia"/>
                <w:iCs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</w:rPr>
              <w:t>⑤</w:t>
            </w:r>
            <w:r>
              <w:rPr>
                <w:rFonts w:hint="eastAsia" w:asciiTheme="minorEastAsia" w:hAnsiTheme="minorEastAsia" w:eastAsiaTheme="minorEastAsia" w:cstheme="minorEastAsia"/>
                <w:iCs/>
                <w:color w:val="auto"/>
                <w:sz w:val="24"/>
                <w:szCs w:val="24"/>
              </w:rPr>
              <w:t>力学性能：强度安全系数≥2.5，整体挠度刚度优于 1/1000；</w:t>
            </w:r>
          </w:p>
          <w:p w14:paraId="2E4C4517">
            <w:pPr>
              <w:spacing w:line="340" w:lineRule="exact"/>
              <w:ind w:right="105" w:rightChars="50"/>
              <w:rPr>
                <w:rFonts w:hint="eastAsia" w:asciiTheme="minorEastAsia" w:hAnsiTheme="minorEastAsia" w:eastAsiaTheme="minorEastAsia" w:cstheme="minorEastAsia"/>
                <w:iCs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Cs/>
                <w:color w:val="auto"/>
                <w:sz w:val="24"/>
                <w:szCs w:val="24"/>
              </w:rPr>
              <w:t>使用寿命：满载循环使用次数不低于 100 万次；</w:t>
            </w:r>
          </w:p>
          <w:p w14:paraId="086F11FF">
            <w:pPr>
              <w:spacing w:line="340" w:lineRule="exact"/>
              <w:ind w:right="105" w:rightChars="50"/>
              <w:rPr>
                <w:rFonts w:hint="eastAsia" w:asciiTheme="minorEastAsia" w:hAnsiTheme="minorEastAsia" w:eastAsiaTheme="minorEastAsia" w:cstheme="minorEastAsia"/>
                <w:iCs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</w:rPr>
              <w:t>⑥</w:t>
            </w:r>
            <w:r>
              <w:rPr>
                <w:rFonts w:hint="eastAsia" w:asciiTheme="minorEastAsia" w:hAnsiTheme="minorEastAsia" w:eastAsiaTheme="minorEastAsia" w:cstheme="minorEastAsia"/>
                <w:iCs/>
                <w:color w:val="auto"/>
                <w:sz w:val="24"/>
                <w:szCs w:val="24"/>
              </w:rPr>
              <w:t>计量参数：分度值 20kg，计量等级静态 3 级；</w:t>
            </w:r>
          </w:p>
          <w:p w14:paraId="6EAD0A43">
            <w:pPr>
              <w:spacing w:line="340" w:lineRule="exact"/>
              <w:ind w:right="105" w:rightChars="50"/>
              <w:rPr>
                <w:rFonts w:hint="eastAsia" w:asciiTheme="minorEastAsia" w:hAnsiTheme="minorEastAsia" w:eastAsiaTheme="minorEastAsia" w:cstheme="minorEastAsia"/>
                <w:iCs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</w:rPr>
              <w:t>⑦</w:t>
            </w:r>
            <w:r>
              <w:rPr>
                <w:rFonts w:hint="eastAsia" w:asciiTheme="minorEastAsia" w:hAnsiTheme="minorEastAsia" w:eastAsiaTheme="minorEastAsia" w:cstheme="minorEastAsia"/>
                <w:iCs/>
                <w:color w:val="auto"/>
                <w:sz w:val="24"/>
                <w:szCs w:val="24"/>
              </w:rPr>
              <w:t>配套附件：全套秤体连接紧固件、连接件、传感器上下支撑腕组件；</w:t>
            </w:r>
          </w:p>
          <w:p w14:paraId="44104E61">
            <w:pPr>
              <w:spacing w:line="340" w:lineRule="exact"/>
              <w:ind w:right="105" w:rightChars="50"/>
              <w:rPr>
                <w:rFonts w:hint="eastAsia" w:asciiTheme="minorEastAsia" w:hAnsiTheme="minorEastAsia" w:eastAsiaTheme="minorEastAsia" w:cstheme="minorEastAsia"/>
                <w:iCs/>
                <w:color w:val="auto"/>
                <w:sz w:val="24"/>
                <w:szCs w:val="24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iCs/>
                <w:color w:val="auto"/>
                <w:sz w:val="24"/>
                <w:szCs w:val="24"/>
              </w:rPr>
              <w:t>⑧</w:t>
            </w:r>
            <w:r>
              <w:rPr>
                <w:rFonts w:hint="eastAsia" w:asciiTheme="minorEastAsia" w:hAnsiTheme="minorEastAsia" w:eastAsiaTheme="minorEastAsia" w:cstheme="minorEastAsia"/>
                <w:iCs/>
                <w:color w:val="auto"/>
                <w:sz w:val="24"/>
                <w:szCs w:val="24"/>
              </w:rPr>
              <w:t>资料要求：随货提供原厂钢材材质合格证明文件。</w:t>
            </w:r>
          </w:p>
        </w:tc>
        <w:tc>
          <w:tcPr>
            <w:tcW w:w="156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79EC8C">
            <w:pPr>
              <w:ind w:right="105" w:rightChars="5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Cs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Cs/>
                <w:color w:val="auto"/>
                <w:sz w:val="24"/>
                <w:szCs w:val="24"/>
              </w:rPr>
              <w:t>1台</w:t>
            </w:r>
          </w:p>
        </w:tc>
      </w:tr>
      <w:tr w14:paraId="1433E8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918" w:hRule="atLeast"/>
          <w:jc w:val="center"/>
        </w:trPr>
        <w:tc>
          <w:tcPr>
            <w:tcW w:w="94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0769551F">
            <w:pPr>
              <w:ind w:left="218" w:leftChars="104" w:right="105" w:rightChars="5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Cs/>
                <w:color w:val="auto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6075E866">
            <w:pPr>
              <w:ind w:left="218" w:leftChars="104" w:right="105" w:rightChars="50" w:firstLine="0" w:firstLineChars="0"/>
              <w:jc w:val="center"/>
              <w:rPr>
                <w:rStyle w:val="4"/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Cs/>
                <w:color w:val="auto"/>
                <w:sz w:val="24"/>
                <w:szCs w:val="24"/>
              </w:rPr>
              <w:t>物联网防作弊数字称重传感器</w:t>
            </w:r>
          </w:p>
        </w:tc>
        <w:tc>
          <w:tcPr>
            <w:tcW w:w="51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 w14:paraId="1EF4B54C">
            <w:pPr>
              <w:adjustRightInd w:val="0"/>
              <w:snapToGrid w:val="0"/>
              <w:spacing w:line="340" w:lineRule="exact"/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iCs/>
                <w:color w:val="auto"/>
                <w:sz w:val="24"/>
                <w:szCs w:val="24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iCs/>
                <w:color w:val="auto"/>
                <w:sz w:val="24"/>
                <w:szCs w:val="24"/>
              </w:rPr>
              <w:t>①额定载荷：单只 30t；</w:t>
            </w:r>
          </w:p>
          <w:p w14:paraId="470D17D3">
            <w:pPr>
              <w:adjustRightInd w:val="0"/>
              <w:snapToGrid w:val="0"/>
              <w:spacing w:line="340" w:lineRule="exact"/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iCs/>
                <w:color w:val="auto"/>
                <w:sz w:val="24"/>
                <w:szCs w:val="24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iCs/>
                <w:color w:val="auto"/>
                <w:sz w:val="24"/>
                <w:szCs w:val="24"/>
              </w:rPr>
              <w:t>②过载能力：安全过载 150% FS；</w:t>
            </w:r>
          </w:p>
          <w:p w14:paraId="0AF670C2">
            <w:pPr>
              <w:adjustRightInd w:val="0"/>
              <w:snapToGrid w:val="0"/>
              <w:spacing w:line="340" w:lineRule="exact"/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iCs/>
                <w:color w:val="auto"/>
                <w:sz w:val="24"/>
                <w:szCs w:val="24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iCs/>
                <w:color w:val="auto"/>
                <w:sz w:val="24"/>
                <w:szCs w:val="24"/>
              </w:rPr>
              <w:t>③信号输出：数字信号输出，内置智能温度、线性补偿算法；</w:t>
            </w:r>
          </w:p>
          <w:p w14:paraId="4E141CBA">
            <w:pPr>
              <w:adjustRightInd w:val="0"/>
              <w:snapToGrid w:val="0"/>
              <w:spacing w:line="340" w:lineRule="exact"/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iCs/>
                <w:color w:val="auto"/>
                <w:sz w:val="24"/>
                <w:szCs w:val="24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iCs/>
                <w:color w:val="auto"/>
                <w:sz w:val="24"/>
                <w:szCs w:val="24"/>
              </w:rPr>
              <w:t>④通讯方式：双向 2 线制 RS-485 数字传输；</w:t>
            </w:r>
          </w:p>
          <w:p w14:paraId="6D629935">
            <w:pPr>
              <w:adjustRightInd w:val="0"/>
              <w:snapToGrid w:val="0"/>
              <w:spacing w:line="340" w:lineRule="exact"/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iCs/>
                <w:color w:val="auto"/>
                <w:sz w:val="24"/>
                <w:szCs w:val="24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iCs/>
                <w:color w:val="auto"/>
                <w:sz w:val="24"/>
                <w:szCs w:val="24"/>
              </w:rPr>
              <w:t>⑤材质：合金钢材质，抗疲劳、抗冲击；</w:t>
            </w:r>
          </w:p>
          <w:p w14:paraId="04986C82">
            <w:pPr>
              <w:adjustRightInd w:val="0"/>
              <w:snapToGrid w:val="0"/>
              <w:spacing w:line="340" w:lineRule="exact"/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iCs/>
                <w:color w:val="auto"/>
                <w:sz w:val="24"/>
                <w:szCs w:val="24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iCs/>
                <w:color w:val="auto"/>
                <w:sz w:val="24"/>
                <w:szCs w:val="24"/>
              </w:rPr>
              <w:t>⑥防护等级：IP68，防水防尘，可长期户外淋雨浸泡使用；</w:t>
            </w:r>
          </w:p>
          <w:p w14:paraId="345DE286">
            <w:pPr>
              <w:adjustRightInd w:val="0"/>
              <w:snapToGrid w:val="0"/>
              <w:spacing w:line="340" w:lineRule="exact"/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iCs/>
                <w:color w:val="auto"/>
                <w:sz w:val="24"/>
                <w:szCs w:val="24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iCs/>
                <w:color w:val="auto"/>
                <w:sz w:val="24"/>
                <w:szCs w:val="24"/>
              </w:rPr>
              <w:t>⑦资料要求：原厂传感器出厂合格证。</w:t>
            </w:r>
          </w:p>
        </w:tc>
        <w:tc>
          <w:tcPr>
            <w:tcW w:w="15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21432F">
            <w:pPr>
              <w:ind w:right="105" w:rightChars="5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Cs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Cs/>
                <w:color w:val="auto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Cs/>
                <w:color w:val="auto"/>
                <w:sz w:val="24"/>
                <w:szCs w:val="24"/>
              </w:rPr>
              <w:t>套</w:t>
            </w:r>
          </w:p>
        </w:tc>
      </w:tr>
      <w:tr w14:paraId="7C9A4F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100" w:hRule="atLeast"/>
          <w:jc w:val="center"/>
        </w:trPr>
        <w:tc>
          <w:tcPr>
            <w:tcW w:w="94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19A0B9E6">
            <w:pPr>
              <w:ind w:left="218" w:leftChars="104" w:right="105" w:rightChars="5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Cs/>
                <w:color w:val="auto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2AD5B9DF">
            <w:pPr>
              <w:ind w:left="218" w:leftChars="104" w:right="105" w:rightChars="5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/>
                <w:iCs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Cs/>
                <w:color w:val="auto"/>
                <w:sz w:val="24"/>
                <w:szCs w:val="24"/>
              </w:rPr>
              <w:t>物联网防作弊称重显示仪表</w:t>
            </w:r>
          </w:p>
        </w:tc>
        <w:tc>
          <w:tcPr>
            <w:tcW w:w="51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</w:tcPr>
          <w:p w14:paraId="3A980186">
            <w:pPr>
              <w:widowControl/>
              <w:spacing w:line="340" w:lineRule="exact"/>
              <w:jc w:val="left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iCs/>
                <w:color w:val="auto"/>
                <w:sz w:val="24"/>
                <w:szCs w:val="24"/>
              </w:rPr>
              <w:t>①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</w:rPr>
              <w:t>类型：数字式物联网专用称重仪表；</w:t>
            </w:r>
          </w:p>
          <w:p w14:paraId="0AEDD332">
            <w:pPr>
              <w:widowControl/>
              <w:spacing w:line="340" w:lineRule="exact"/>
              <w:jc w:val="left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iCs/>
                <w:color w:val="auto"/>
                <w:sz w:val="24"/>
                <w:szCs w:val="24"/>
              </w:rPr>
              <w:t>②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</w:rPr>
              <w:t>物联网功能：内置 GPRS 通讯接口，对接 “衡管家” 云平台，实现设备远程监控、称重数据云端上传；</w:t>
            </w:r>
          </w:p>
          <w:p w14:paraId="6ACA6DC1">
            <w:pPr>
              <w:widowControl/>
              <w:spacing w:line="340" w:lineRule="exact"/>
              <w:jc w:val="left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iCs/>
                <w:color w:val="auto"/>
                <w:sz w:val="24"/>
                <w:szCs w:val="24"/>
              </w:rPr>
              <w:t>③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</w:rPr>
              <w:t>防作弊功能：内置多重防作弊校验机制，杜绝人为篡改称重数据；</w:t>
            </w:r>
          </w:p>
          <w:p w14:paraId="4406F6C1">
            <w:pPr>
              <w:widowControl/>
              <w:spacing w:line="340" w:lineRule="exact"/>
              <w:jc w:val="left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iCs/>
                <w:color w:val="auto"/>
                <w:sz w:val="24"/>
                <w:szCs w:val="24"/>
              </w:rPr>
              <w:t>④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</w:rPr>
              <w:t>设备健康监测：实时采集传感器、线路运行数据，自动分析过秤车辆规律，故障预警；</w:t>
            </w:r>
          </w:p>
          <w:p w14:paraId="073E3827">
            <w:pPr>
              <w:widowControl/>
              <w:spacing w:line="340" w:lineRule="exact"/>
              <w:jc w:val="left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iCs/>
                <w:color w:val="auto"/>
                <w:sz w:val="24"/>
                <w:szCs w:val="24"/>
              </w:rPr>
              <w:t>⑤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</w:rPr>
              <w:t>调试功能：支持蓝牙无线连接手机，现场标定、参数设置、故障排查；</w:t>
            </w:r>
          </w:p>
          <w:p w14:paraId="630E7EA6">
            <w:pPr>
              <w:widowControl/>
              <w:spacing w:line="340" w:lineRule="exact"/>
              <w:jc w:val="left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iCs/>
                <w:color w:val="auto"/>
                <w:sz w:val="24"/>
                <w:szCs w:val="24"/>
              </w:rPr>
              <w:t>⑥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</w:rPr>
              <w:t>扩展接口：预留以太网、4～20mA 模拟量、开关量、Modbus、外接大屏幕驱动接口，可按需拓展；</w:t>
            </w:r>
          </w:p>
          <w:p w14:paraId="1FE1D334">
            <w:pPr>
              <w:widowControl/>
              <w:spacing w:line="340" w:lineRule="exact"/>
              <w:jc w:val="left"/>
              <w:rPr>
                <w:rFonts w:hint="eastAsia" w:asciiTheme="minorEastAsia" w:hAnsiTheme="minorEastAsia" w:eastAsiaTheme="minorEastAsia" w:cstheme="minorEastAsia"/>
                <w:bCs/>
                <w:iCs/>
                <w:color w:val="auto"/>
                <w:kern w:val="0"/>
                <w:sz w:val="24"/>
                <w:szCs w:val="24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iCs/>
                <w:color w:val="auto"/>
                <w:sz w:val="24"/>
                <w:szCs w:val="24"/>
              </w:rPr>
              <w:t>⑦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</w:rPr>
              <w:t>资料要求：原厂仪表合格证。</w:t>
            </w:r>
          </w:p>
        </w:tc>
        <w:tc>
          <w:tcPr>
            <w:tcW w:w="15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132EB7">
            <w:pPr>
              <w:ind w:right="105" w:rightChars="5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Cs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Cs/>
                <w:color w:val="auto"/>
                <w:sz w:val="24"/>
                <w:szCs w:val="24"/>
              </w:rPr>
              <w:t>1台</w:t>
            </w:r>
          </w:p>
        </w:tc>
      </w:tr>
      <w:tr w14:paraId="6BCC62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386" w:hRule="atLeast"/>
          <w:jc w:val="center"/>
        </w:trPr>
        <w:tc>
          <w:tcPr>
            <w:tcW w:w="94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7E0C569C">
            <w:pPr>
              <w:ind w:left="218" w:leftChars="104" w:right="105" w:rightChars="5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Cs/>
                <w:color w:val="auto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2F496499">
            <w:pPr>
              <w:ind w:left="218" w:leftChars="104" w:right="105" w:rightChars="5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Cs/>
                <w:i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Cs/>
                <w:color w:val="auto"/>
                <w:sz w:val="24"/>
                <w:szCs w:val="24"/>
              </w:rPr>
              <w:t>防浪涌防作弊物联网接线盒</w:t>
            </w:r>
          </w:p>
        </w:tc>
        <w:tc>
          <w:tcPr>
            <w:tcW w:w="51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 w14:paraId="2207CE4E">
            <w:pPr>
              <w:widowControl/>
              <w:spacing w:line="340" w:lineRule="exact"/>
              <w:rPr>
                <w:rFonts w:hint="eastAsia" w:asciiTheme="minorEastAsia" w:hAnsiTheme="minorEastAsia" w:eastAsiaTheme="minorEastAsia" w:cstheme="minorEastAsia"/>
                <w:bCs/>
                <w:iCs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iCs/>
                <w:color w:val="auto"/>
                <w:kern w:val="0"/>
                <w:sz w:val="24"/>
                <w:szCs w:val="24"/>
              </w:rPr>
              <w:t>①</w:t>
            </w:r>
            <w:r>
              <w:rPr>
                <w:rFonts w:hint="eastAsia" w:asciiTheme="minorEastAsia" w:hAnsiTheme="minorEastAsia" w:eastAsiaTheme="minorEastAsia" w:cstheme="minorEastAsia"/>
                <w:bCs/>
                <w:iCs/>
                <w:color w:val="auto"/>
                <w:kern w:val="0"/>
                <w:sz w:val="24"/>
                <w:szCs w:val="24"/>
                <w:lang w:eastAsia="zh-CN"/>
              </w:rPr>
              <w:t>功能：实现多只数字传感器并联汇总；</w:t>
            </w:r>
          </w:p>
          <w:p w14:paraId="614496EF">
            <w:pPr>
              <w:widowControl/>
              <w:spacing w:line="340" w:lineRule="exact"/>
              <w:rPr>
                <w:rFonts w:hint="eastAsia" w:asciiTheme="minorEastAsia" w:hAnsiTheme="minorEastAsia" w:eastAsiaTheme="minorEastAsia" w:cstheme="minorEastAsia"/>
                <w:bCs/>
                <w:iCs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iCs/>
                <w:color w:val="auto"/>
                <w:kern w:val="0"/>
                <w:sz w:val="24"/>
                <w:szCs w:val="24"/>
              </w:rPr>
              <w:t>②</w:t>
            </w:r>
            <w:r>
              <w:rPr>
                <w:rFonts w:hint="eastAsia" w:asciiTheme="minorEastAsia" w:hAnsiTheme="minorEastAsia" w:eastAsiaTheme="minorEastAsia" w:cstheme="minorEastAsia"/>
                <w:bCs/>
                <w:iCs/>
                <w:color w:val="auto"/>
                <w:kern w:val="0"/>
                <w:sz w:val="24"/>
                <w:szCs w:val="24"/>
                <w:lang w:eastAsia="zh-CN"/>
              </w:rPr>
              <w:t>防护设计：内置分压电阻实现雷电浪涌防护，采用电磁屏蔽设计满足 EMC 电磁兼容要求；</w:t>
            </w:r>
          </w:p>
          <w:p w14:paraId="5519B7A7">
            <w:pPr>
              <w:widowControl/>
              <w:spacing w:line="340" w:lineRule="exact"/>
              <w:rPr>
                <w:rFonts w:hint="eastAsia" w:asciiTheme="minorEastAsia" w:hAnsiTheme="minorEastAsia" w:eastAsiaTheme="minorEastAsia" w:cstheme="minorEastAsia"/>
                <w:bCs/>
                <w:iCs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iCs/>
                <w:color w:val="auto"/>
                <w:kern w:val="0"/>
                <w:sz w:val="24"/>
                <w:szCs w:val="24"/>
              </w:rPr>
              <w:t>③</w:t>
            </w:r>
            <w:r>
              <w:rPr>
                <w:rFonts w:hint="eastAsia" w:asciiTheme="minorEastAsia" w:hAnsiTheme="minorEastAsia" w:eastAsiaTheme="minorEastAsia" w:cstheme="minorEastAsia"/>
                <w:bCs/>
                <w:iCs/>
                <w:color w:val="auto"/>
                <w:kern w:val="0"/>
                <w:sz w:val="24"/>
                <w:szCs w:val="24"/>
                <w:lang w:eastAsia="zh-CN"/>
              </w:rPr>
              <w:t>壳体：不锈钢防水外壳；</w:t>
            </w:r>
          </w:p>
          <w:p w14:paraId="227B0039">
            <w:pPr>
              <w:widowControl/>
              <w:spacing w:line="340" w:lineRule="exact"/>
              <w:rPr>
                <w:rFonts w:hint="eastAsia" w:asciiTheme="minorEastAsia" w:hAnsiTheme="minorEastAsia" w:eastAsiaTheme="minorEastAsia" w:cstheme="minorEastAsia"/>
                <w:bCs/>
                <w:iCs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iCs/>
                <w:color w:val="auto"/>
                <w:kern w:val="0"/>
                <w:sz w:val="24"/>
                <w:szCs w:val="24"/>
              </w:rPr>
              <w:t>④</w:t>
            </w:r>
            <w:r>
              <w:rPr>
                <w:rFonts w:hint="eastAsia" w:asciiTheme="minorEastAsia" w:hAnsiTheme="minorEastAsia" w:eastAsiaTheme="minorEastAsia" w:cstheme="minorEastAsia"/>
                <w:bCs/>
                <w:iCs/>
                <w:color w:val="auto"/>
                <w:kern w:val="0"/>
                <w:sz w:val="24"/>
                <w:szCs w:val="24"/>
                <w:lang w:eastAsia="zh-CN"/>
              </w:rPr>
              <w:t>防护等级：IP66，户外防尘防水。</w:t>
            </w:r>
          </w:p>
        </w:tc>
        <w:tc>
          <w:tcPr>
            <w:tcW w:w="15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9E9810">
            <w:pPr>
              <w:ind w:right="105" w:rightChars="5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Cs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Cs/>
                <w:color w:val="auto"/>
                <w:sz w:val="24"/>
                <w:szCs w:val="24"/>
              </w:rPr>
              <w:t>1个</w:t>
            </w:r>
          </w:p>
        </w:tc>
      </w:tr>
      <w:tr w14:paraId="71CDBE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260" w:hRule="atLeast"/>
          <w:jc w:val="center"/>
        </w:trPr>
        <w:tc>
          <w:tcPr>
            <w:tcW w:w="94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406FD0FE">
            <w:pPr>
              <w:ind w:left="218" w:leftChars="104" w:right="105" w:rightChars="5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Cs/>
                <w:color w:val="auto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41032111">
            <w:pPr>
              <w:ind w:left="218" w:leftChars="104" w:right="105" w:rightChars="5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b/>
                <w:i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Cs/>
                <w:color w:val="auto"/>
                <w:sz w:val="24"/>
                <w:szCs w:val="24"/>
                <w:lang w:val="en-US" w:eastAsia="zh-CN"/>
              </w:rPr>
              <w:t>称重专用电脑</w:t>
            </w:r>
          </w:p>
        </w:tc>
        <w:tc>
          <w:tcPr>
            <w:tcW w:w="51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 w14:paraId="3EE43FB0">
            <w:pPr>
              <w:ind w:right="105" w:rightChars="50"/>
              <w:rPr>
                <w:rFonts w:hint="default" w:asciiTheme="minorEastAsia" w:hAnsiTheme="minorEastAsia" w:eastAsiaTheme="minorEastAsia" w:cstheme="minorEastAsia"/>
                <w:b/>
                <w:i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iCs/>
                <w:color w:val="auto"/>
                <w:kern w:val="0"/>
                <w:sz w:val="24"/>
                <w:szCs w:val="24"/>
              </w:rPr>
              <w:t>①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kern w:val="0"/>
                <w:sz w:val="24"/>
                <w:szCs w:val="24"/>
                <w:shd w:val="clear" w:color="auto" w:fill="FFFFFF"/>
                <w:lang w:val="en-US" w:eastAsia="zh-CN"/>
              </w:rPr>
              <w:t>配套配置：标准主机、24 寸液晶显示器、有线键盘、光电鼠标</w:t>
            </w:r>
            <w:bookmarkStart w:id="0" w:name="_GoBack"/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kern w:val="0"/>
                <w:sz w:val="24"/>
                <w:szCs w:val="24"/>
                <w:shd w:val="clear" w:color="auto" w:fill="FFFFFF"/>
                <w:lang w:val="en-US" w:eastAsia="zh-CN"/>
              </w:rPr>
              <w:t>等全套配齐</w:t>
            </w:r>
            <w:bookmarkEnd w:id="0"/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kern w:val="0"/>
                <w:sz w:val="24"/>
                <w:szCs w:val="24"/>
                <w:shd w:val="clear" w:color="auto" w:fill="FFFFFF"/>
                <w:lang w:val="en-US" w:eastAsia="zh-CN"/>
              </w:rPr>
              <w:t>，满足称重软件长期稳定运行。</w:t>
            </w:r>
          </w:p>
        </w:tc>
        <w:tc>
          <w:tcPr>
            <w:tcW w:w="15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8CA145">
            <w:pPr>
              <w:ind w:right="105" w:rightChars="5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Cs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Cs/>
                <w:color w:val="auto"/>
                <w:sz w:val="24"/>
                <w:szCs w:val="24"/>
              </w:rPr>
              <w:t>1台</w:t>
            </w:r>
          </w:p>
        </w:tc>
      </w:tr>
      <w:tr w14:paraId="512A63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67" w:hRule="atLeast"/>
          <w:jc w:val="center"/>
        </w:trPr>
        <w:tc>
          <w:tcPr>
            <w:tcW w:w="94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7D7611E6">
            <w:pPr>
              <w:ind w:left="218" w:leftChars="104" w:right="105" w:rightChars="5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Cs/>
                <w:color w:val="auto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65A815B7">
            <w:pPr>
              <w:ind w:left="218" w:leftChars="104" w:right="105" w:rightChars="5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/>
                <w:iCs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Cs/>
                <w:color w:val="auto"/>
                <w:sz w:val="24"/>
                <w:szCs w:val="24"/>
              </w:rPr>
              <w:t>电脑版联网称重管理软件</w:t>
            </w:r>
          </w:p>
        </w:tc>
        <w:tc>
          <w:tcPr>
            <w:tcW w:w="51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 w14:paraId="40E70252">
            <w:pPr>
              <w:spacing w:line="340" w:lineRule="exact"/>
              <w:ind w:right="105" w:rightChars="50"/>
              <w:rPr>
                <w:rFonts w:hint="eastAsia" w:asciiTheme="minorEastAsia" w:hAnsiTheme="minorEastAsia" w:eastAsiaTheme="minorEastAsia" w:cstheme="minorEastAsia"/>
                <w:bCs/>
                <w:iCs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iCs/>
                <w:color w:val="auto"/>
                <w:sz w:val="24"/>
                <w:szCs w:val="24"/>
              </w:rPr>
              <w:t>①联网能力：支持局域网 + 互联网双模式实时同步称重数据；</w:t>
            </w:r>
          </w:p>
          <w:p w14:paraId="034F3730">
            <w:pPr>
              <w:spacing w:line="340" w:lineRule="exact"/>
              <w:ind w:right="105" w:rightChars="50"/>
              <w:rPr>
                <w:rFonts w:hint="eastAsia" w:asciiTheme="minorEastAsia" w:hAnsiTheme="minorEastAsia" w:eastAsiaTheme="minorEastAsia" w:cstheme="minorEastAsia"/>
                <w:bCs/>
                <w:iCs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iCs/>
                <w:color w:val="auto"/>
                <w:sz w:val="24"/>
                <w:szCs w:val="24"/>
              </w:rPr>
              <w:t>②仪表兼容：适配市面主流数字 / 模拟称重仪表，支持自定义通讯协议；</w:t>
            </w:r>
          </w:p>
          <w:p w14:paraId="220C4186">
            <w:pPr>
              <w:spacing w:line="340" w:lineRule="exact"/>
              <w:ind w:right="105" w:rightChars="50"/>
              <w:rPr>
                <w:rFonts w:hint="eastAsia" w:asciiTheme="minorEastAsia" w:hAnsiTheme="minorEastAsia" w:eastAsiaTheme="minorEastAsia" w:cstheme="minorEastAsia"/>
                <w:bCs/>
                <w:iCs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iCs/>
                <w:color w:val="auto"/>
                <w:sz w:val="24"/>
                <w:szCs w:val="24"/>
              </w:rPr>
              <w:t>③单据功能：内置数十种标准磅单模板，提供两套磅单设计模式，支持用户自主编辑磅单样式；</w:t>
            </w:r>
          </w:p>
          <w:p w14:paraId="4CD67242">
            <w:pPr>
              <w:spacing w:line="340" w:lineRule="exact"/>
              <w:ind w:right="105" w:rightChars="50"/>
              <w:rPr>
                <w:rFonts w:hint="eastAsia" w:asciiTheme="minorEastAsia" w:hAnsiTheme="minorEastAsia" w:eastAsiaTheme="minorEastAsia" w:cstheme="minorEastAsia"/>
                <w:bCs/>
                <w:iCs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iCs/>
                <w:color w:val="auto"/>
                <w:sz w:val="24"/>
                <w:szCs w:val="24"/>
              </w:rPr>
              <w:t>④报表功能：支持日报、周报、月报、年报等多类型统计报表，报表格式可自定义；</w:t>
            </w:r>
          </w:p>
          <w:p w14:paraId="38BC3DBF">
            <w:pPr>
              <w:spacing w:line="340" w:lineRule="exact"/>
              <w:ind w:right="105" w:rightChars="50"/>
              <w:rPr>
                <w:rFonts w:hint="eastAsia" w:asciiTheme="minorEastAsia" w:hAnsiTheme="minorEastAsia" w:eastAsiaTheme="minorEastAsia" w:cstheme="minorEastAsia"/>
                <w:bCs/>
                <w:iCs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iCs/>
                <w:color w:val="auto"/>
                <w:sz w:val="24"/>
                <w:szCs w:val="24"/>
              </w:rPr>
              <w:t>⑤数据管理：称重记录全量存储、多条件灵活查询、永久数据溯源，操作日志全程留痕防篡改。</w:t>
            </w:r>
          </w:p>
        </w:tc>
        <w:tc>
          <w:tcPr>
            <w:tcW w:w="15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AE7412">
            <w:pPr>
              <w:ind w:right="105" w:rightChars="5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Cs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Cs/>
                <w:color w:val="auto"/>
                <w:sz w:val="24"/>
                <w:szCs w:val="24"/>
              </w:rPr>
              <w:t>1套</w:t>
            </w:r>
          </w:p>
        </w:tc>
      </w:tr>
      <w:tr w14:paraId="51D070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046" w:hRule="atLeast"/>
          <w:jc w:val="center"/>
        </w:trPr>
        <w:tc>
          <w:tcPr>
            <w:tcW w:w="94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25B4873A">
            <w:pPr>
              <w:ind w:left="218" w:leftChars="104" w:right="105" w:rightChars="5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Cs/>
                <w:color w:val="auto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3298EBB3">
            <w:pPr>
              <w:ind w:left="218" w:leftChars="104" w:right="105" w:rightChars="5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/>
                <w:iCs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Cs/>
                <w:color w:val="auto"/>
                <w:sz w:val="24"/>
                <w:szCs w:val="24"/>
              </w:rPr>
              <w:t>点阵式针式打印机（1 台，含 2000 份配套磅单纸）</w:t>
            </w:r>
          </w:p>
        </w:tc>
        <w:tc>
          <w:tcPr>
            <w:tcW w:w="51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 w14:paraId="57CE8BA1">
            <w:pPr>
              <w:spacing w:line="340" w:lineRule="exact"/>
              <w:ind w:right="105" w:rightChars="50"/>
              <w:rPr>
                <w:rFonts w:hint="eastAsia" w:asciiTheme="minorEastAsia" w:hAnsiTheme="minorEastAsia" w:eastAsiaTheme="minorEastAsia" w:cstheme="minorEastAsia"/>
                <w:bCs/>
                <w:i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iCs/>
                <w:color w:val="auto"/>
                <w:sz w:val="24"/>
                <w:szCs w:val="24"/>
              </w:rPr>
              <w:t>①</w:t>
            </w:r>
            <w:r>
              <w:rPr>
                <w:rFonts w:hint="eastAsia" w:asciiTheme="minorEastAsia" w:hAnsiTheme="minorEastAsia" w:eastAsiaTheme="minorEastAsia" w:cstheme="minorEastAsia"/>
                <w:bCs/>
                <w:iCs/>
                <w:color w:val="auto"/>
                <w:sz w:val="24"/>
                <w:szCs w:val="24"/>
                <w:lang w:eastAsia="zh-CN"/>
              </w:rPr>
              <w:t>打印类型：点阵击打式；</w:t>
            </w:r>
          </w:p>
          <w:p w14:paraId="3664C98C">
            <w:pPr>
              <w:spacing w:line="340" w:lineRule="exact"/>
              <w:ind w:right="105" w:rightChars="50"/>
              <w:rPr>
                <w:rFonts w:hint="eastAsia" w:asciiTheme="minorEastAsia" w:hAnsiTheme="minorEastAsia" w:eastAsiaTheme="minorEastAsia" w:cstheme="minorEastAsia"/>
                <w:bCs/>
                <w:i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iCs/>
                <w:color w:val="auto"/>
                <w:sz w:val="24"/>
                <w:szCs w:val="24"/>
              </w:rPr>
              <w:t>②</w:t>
            </w:r>
            <w:r>
              <w:rPr>
                <w:rFonts w:hint="eastAsia" w:asciiTheme="minorEastAsia" w:hAnsiTheme="minorEastAsia" w:eastAsiaTheme="minorEastAsia" w:cstheme="minorEastAsia"/>
                <w:bCs/>
                <w:iCs/>
                <w:color w:val="auto"/>
                <w:sz w:val="24"/>
                <w:szCs w:val="24"/>
                <w:lang w:eastAsia="zh-CN"/>
              </w:rPr>
              <w:t>打印速度：375字符</w:t>
            </w:r>
            <w:r>
              <w:rPr>
                <w:rFonts w:hint="eastAsia" w:asciiTheme="minorEastAsia" w:hAnsiTheme="minorEastAsia" w:eastAsiaTheme="minorEastAsia" w:cstheme="minorEastAsia"/>
                <w:bCs/>
                <w:iCs/>
                <w:color w:val="auto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 w:asciiTheme="minorEastAsia" w:hAnsiTheme="minorEastAsia" w:eastAsiaTheme="minorEastAsia" w:cstheme="minorEastAsia"/>
                <w:bCs/>
                <w:iCs/>
                <w:color w:val="auto"/>
                <w:sz w:val="24"/>
                <w:szCs w:val="24"/>
                <w:lang w:eastAsia="zh-CN"/>
              </w:rPr>
              <w:t>秒；</w:t>
            </w:r>
          </w:p>
          <w:p w14:paraId="00DFA607">
            <w:pPr>
              <w:spacing w:line="340" w:lineRule="exact"/>
              <w:ind w:right="105" w:rightChars="50"/>
              <w:rPr>
                <w:rFonts w:hint="eastAsia" w:asciiTheme="minorEastAsia" w:hAnsiTheme="minorEastAsia" w:eastAsiaTheme="minorEastAsia" w:cstheme="minorEastAsia"/>
                <w:bCs/>
                <w:i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iCs/>
                <w:color w:val="auto"/>
                <w:sz w:val="24"/>
                <w:szCs w:val="24"/>
              </w:rPr>
              <w:t>③</w:t>
            </w:r>
            <w:r>
              <w:rPr>
                <w:rFonts w:hint="eastAsia" w:asciiTheme="minorEastAsia" w:hAnsiTheme="minorEastAsia" w:eastAsiaTheme="minorEastAsia" w:cstheme="minorEastAsia"/>
                <w:bCs/>
                <w:iCs/>
                <w:color w:val="auto"/>
                <w:sz w:val="24"/>
                <w:szCs w:val="24"/>
                <w:lang w:eastAsia="zh-CN"/>
              </w:rPr>
              <w:t>复写层数：支持1+3联复写；</w:t>
            </w:r>
          </w:p>
          <w:p w14:paraId="5F1DF7A1">
            <w:pPr>
              <w:spacing w:line="340" w:lineRule="exact"/>
              <w:ind w:right="105" w:rightChars="50"/>
              <w:rPr>
                <w:rFonts w:hint="eastAsia" w:asciiTheme="minorEastAsia" w:hAnsiTheme="minorEastAsia" w:eastAsiaTheme="minorEastAsia" w:cstheme="minorEastAsia"/>
                <w:bCs/>
                <w:i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iCs/>
                <w:color w:val="auto"/>
                <w:sz w:val="24"/>
                <w:szCs w:val="24"/>
              </w:rPr>
              <w:t>④</w:t>
            </w:r>
            <w:r>
              <w:rPr>
                <w:rFonts w:hint="eastAsia" w:asciiTheme="minorEastAsia" w:hAnsiTheme="minorEastAsia" w:eastAsiaTheme="minorEastAsia" w:cstheme="minorEastAsia"/>
                <w:bCs/>
                <w:iCs/>
                <w:color w:val="auto"/>
                <w:sz w:val="24"/>
                <w:szCs w:val="24"/>
                <w:lang w:eastAsia="zh-CN"/>
              </w:rPr>
              <w:t>耐用指标：打印针使用寿命≥4 亿次；</w:t>
            </w:r>
          </w:p>
          <w:p w14:paraId="2980C0A4">
            <w:pPr>
              <w:spacing w:line="340" w:lineRule="exact"/>
              <w:ind w:right="105" w:rightChars="50"/>
              <w:rPr>
                <w:rFonts w:hint="eastAsia" w:asciiTheme="minorEastAsia" w:hAnsiTheme="minorEastAsia" w:eastAsiaTheme="minorEastAsia" w:cstheme="minorEastAsia"/>
                <w:bCs/>
                <w:i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iCs/>
                <w:color w:val="auto"/>
                <w:sz w:val="24"/>
                <w:szCs w:val="24"/>
              </w:rPr>
              <w:t>⑤</w:t>
            </w:r>
            <w:r>
              <w:rPr>
                <w:rFonts w:hint="eastAsia" w:asciiTheme="minorEastAsia" w:hAnsiTheme="minorEastAsia" w:eastAsiaTheme="minorEastAsia" w:cstheme="minorEastAsia"/>
                <w:bCs/>
                <w:iCs/>
                <w:color w:val="auto"/>
                <w:sz w:val="24"/>
                <w:szCs w:val="24"/>
                <w:lang w:eastAsia="zh-CN"/>
              </w:rPr>
              <w:t>资料要求：原厂打印机合格证书。</w:t>
            </w:r>
          </w:p>
        </w:tc>
        <w:tc>
          <w:tcPr>
            <w:tcW w:w="15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1D6D37">
            <w:pPr>
              <w:ind w:right="105" w:rightChars="5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Cs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Cs/>
                <w:color w:val="auto"/>
                <w:sz w:val="24"/>
                <w:szCs w:val="24"/>
              </w:rPr>
              <w:t>1台</w:t>
            </w:r>
          </w:p>
        </w:tc>
      </w:tr>
      <w:tr w14:paraId="3B3DA5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945" w:hRule="atLeast"/>
          <w:jc w:val="center"/>
        </w:trPr>
        <w:tc>
          <w:tcPr>
            <w:tcW w:w="94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01D3928C">
            <w:pPr>
              <w:ind w:left="218" w:leftChars="104" w:right="105" w:rightChars="5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Cs/>
                <w:color w:val="auto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1E8BCA1D">
            <w:pPr>
              <w:ind w:left="218" w:leftChars="104" w:right="105" w:rightChars="5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/>
                <w:iCs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Cs/>
                <w:color w:val="auto"/>
                <w:sz w:val="24"/>
                <w:szCs w:val="24"/>
              </w:rPr>
              <w:t>配套信号传输线缆</w:t>
            </w:r>
          </w:p>
        </w:tc>
        <w:tc>
          <w:tcPr>
            <w:tcW w:w="51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 w14:paraId="4B4B382E">
            <w:pPr>
              <w:ind w:right="105" w:rightChars="50"/>
              <w:jc w:val="left"/>
              <w:rPr>
                <w:rFonts w:hint="default" w:asciiTheme="minorEastAsia" w:hAnsiTheme="minorEastAsia" w:eastAsiaTheme="minorEastAsia" w:cstheme="minorEastAsia"/>
                <w:b/>
                <w:i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Cs/>
                <w:color w:val="auto"/>
                <w:sz w:val="24"/>
                <w:szCs w:val="24"/>
                <w:lang w:val="en-US" w:eastAsia="zh-CN"/>
              </w:rPr>
              <w:t>专用屏蔽通讯线缆，用于秤台传感器接线盒与称重电脑、仪表之间信号传输，抗干扰、防老化</w:t>
            </w:r>
          </w:p>
        </w:tc>
        <w:tc>
          <w:tcPr>
            <w:tcW w:w="15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E79305">
            <w:pPr>
              <w:ind w:right="105" w:rightChars="5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Cs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Cs/>
                <w:color w:val="auto"/>
                <w:sz w:val="24"/>
                <w:szCs w:val="24"/>
              </w:rPr>
              <w:t>1条</w:t>
            </w:r>
          </w:p>
        </w:tc>
      </w:tr>
      <w:tr w14:paraId="6F1AAA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766" w:hRule="atLeast"/>
          <w:jc w:val="center"/>
        </w:trPr>
        <w:tc>
          <w:tcPr>
            <w:tcW w:w="94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40CDBEF0">
            <w:pPr>
              <w:ind w:left="218" w:leftChars="104" w:right="105" w:rightChars="5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Cs/>
                <w:color w:val="auto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24574C04">
            <w:pPr>
              <w:ind w:left="218" w:leftChars="104" w:right="105" w:rightChars="5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/>
                <w:i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Cs/>
                <w:color w:val="auto"/>
                <w:sz w:val="24"/>
                <w:szCs w:val="24"/>
                <w:lang w:val="en-US" w:eastAsia="zh-CN"/>
              </w:rPr>
              <w:t>土建基础工程</w:t>
            </w:r>
          </w:p>
        </w:tc>
        <w:tc>
          <w:tcPr>
            <w:tcW w:w="51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 w14:paraId="0473C748">
            <w:pPr>
              <w:ind w:right="105" w:rightChars="50"/>
              <w:jc w:val="left"/>
              <w:rPr>
                <w:rFonts w:hint="default" w:asciiTheme="minorEastAsia" w:hAnsiTheme="minorEastAsia" w:eastAsiaTheme="minorEastAsia" w:cstheme="minorEastAsia"/>
                <w:bCs/>
                <w:color w:val="auto"/>
                <w:kern w:val="0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iCs/>
                <w:color w:val="auto"/>
                <w:sz w:val="24"/>
                <w:szCs w:val="24"/>
              </w:rPr>
              <w:t>①</w:t>
            </w:r>
            <w:r>
              <w:rPr>
                <w:rFonts w:hint="default" w:asciiTheme="minorEastAsia" w:hAnsiTheme="minorEastAsia" w:eastAsiaTheme="minorEastAsia" w:cstheme="minorEastAsia"/>
                <w:bCs/>
                <w:color w:val="auto"/>
                <w:kern w:val="0"/>
                <w:sz w:val="24"/>
                <w:szCs w:val="24"/>
                <w:shd w:val="clear" w:color="auto" w:fill="FFFFFF"/>
                <w:lang w:val="en-US" w:eastAsia="zh-CN"/>
              </w:rPr>
              <w:t>施工要求：含100 吨承载荷载、基础开挖、钢筋绑扎、C30/C35混凝土浇筑、养护、预埋件预埋、排水坡、限位装置基座施工，满足汽车衡安装水平、承重、排水规范等。</w:t>
            </w:r>
          </w:p>
          <w:p w14:paraId="77D1D4ED">
            <w:pPr>
              <w:ind w:right="105" w:rightChars="50"/>
              <w:jc w:val="left"/>
              <w:rPr>
                <w:rFonts w:hint="default" w:asciiTheme="minorEastAsia" w:hAnsiTheme="minorEastAsia" w:eastAsiaTheme="minorEastAsia" w:cstheme="minorEastAsia"/>
                <w:bCs/>
                <w:color w:val="auto"/>
                <w:kern w:val="0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iCs/>
                <w:color w:val="auto"/>
                <w:sz w:val="24"/>
                <w:szCs w:val="24"/>
              </w:rPr>
              <w:t>②</w:t>
            </w:r>
            <w:r>
              <w:rPr>
                <w:rFonts w:hint="default" w:asciiTheme="minorEastAsia" w:hAnsiTheme="minorEastAsia" w:eastAsiaTheme="minorEastAsia" w:cstheme="minorEastAsia"/>
                <w:bCs/>
                <w:color w:val="auto"/>
                <w:kern w:val="0"/>
                <w:sz w:val="24"/>
                <w:szCs w:val="24"/>
                <w:shd w:val="clear" w:color="auto" w:fill="FFFFFF"/>
                <w:lang w:val="en-US" w:eastAsia="zh-CN"/>
              </w:rPr>
              <w:t>供应商可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kern w:val="0"/>
                <w:sz w:val="24"/>
                <w:szCs w:val="24"/>
                <w:shd w:val="clear" w:color="auto" w:fill="FFFFFF"/>
                <w:lang w:val="en-US" w:eastAsia="zh-CN"/>
              </w:rPr>
              <w:t>自行</w:t>
            </w:r>
            <w:r>
              <w:rPr>
                <w:rFonts w:hint="default" w:asciiTheme="minorEastAsia" w:hAnsiTheme="minorEastAsia" w:eastAsiaTheme="minorEastAsia" w:cstheme="minorEastAsia"/>
                <w:bCs/>
                <w:color w:val="auto"/>
                <w:kern w:val="0"/>
                <w:sz w:val="24"/>
                <w:szCs w:val="24"/>
                <w:shd w:val="clear" w:color="auto" w:fill="FFFFFF"/>
                <w:lang w:val="en-US" w:eastAsia="zh-CN"/>
              </w:rPr>
              <w:t>实地考察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kern w:val="0"/>
                <w:sz w:val="24"/>
                <w:szCs w:val="24"/>
                <w:shd w:val="clear" w:color="auto" w:fill="FFFFFF"/>
                <w:lang w:val="en-US" w:eastAsia="zh-CN"/>
              </w:rPr>
              <w:t>。</w:t>
            </w:r>
          </w:p>
        </w:tc>
        <w:tc>
          <w:tcPr>
            <w:tcW w:w="15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797BF7">
            <w:pPr>
              <w:ind w:right="105" w:rightChars="5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Cs/>
                <w:color w:val="auto"/>
                <w:sz w:val="24"/>
                <w:szCs w:val="24"/>
                <w:lang w:val="en-US" w:eastAsia="zh-CN"/>
              </w:rPr>
              <w:t>1项</w:t>
            </w:r>
          </w:p>
        </w:tc>
      </w:tr>
      <w:tr w14:paraId="50E474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567" w:hRule="atLeast"/>
          <w:jc w:val="center"/>
        </w:trPr>
        <w:tc>
          <w:tcPr>
            <w:tcW w:w="94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469546BC">
            <w:pPr>
              <w:ind w:left="218" w:leftChars="104" w:right="105" w:rightChars="5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Cs/>
                <w:color w:val="auto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6CAB98BD">
            <w:pPr>
              <w:ind w:left="218" w:leftChars="104" w:right="105" w:rightChars="5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/>
                <w:i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Cs/>
                <w:color w:val="auto"/>
                <w:sz w:val="24"/>
                <w:szCs w:val="24"/>
                <w:lang w:val="en-US" w:eastAsia="zh-CN"/>
              </w:rPr>
              <w:t>辅材耗材技术需求</w:t>
            </w:r>
          </w:p>
        </w:tc>
        <w:tc>
          <w:tcPr>
            <w:tcW w:w="51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 w14:paraId="56809611">
            <w:pPr>
              <w:ind w:right="105" w:rightChars="50"/>
              <w:jc w:val="left"/>
              <w:rPr>
                <w:rFonts w:hint="default" w:asciiTheme="minorEastAsia" w:hAnsiTheme="minorEastAsia" w:eastAsiaTheme="minorEastAsia" w:cstheme="minorEastAsia"/>
                <w:bCs/>
                <w:color w:val="auto"/>
                <w:kern w:val="0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bCs/>
                <w:color w:val="auto"/>
                <w:kern w:val="0"/>
                <w:sz w:val="24"/>
                <w:szCs w:val="24"/>
                <w:shd w:val="clear" w:color="auto" w:fill="FFFFFF"/>
                <w:lang w:val="en-US" w:eastAsia="zh-CN"/>
              </w:rPr>
              <w:t>全套配套强弱电布线材料均为国标线缆，配套 PVC 穿线管、固定支架、防水接头、接地防雷材料等全部安装耗材，无偷工减料，满足户外电气安全规范</w:t>
            </w:r>
          </w:p>
        </w:tc>
        <w:tc>
          <w:tcPr>
            <w:tcW w:w="15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8DC055">
            <w:pPr>
              <w:ind w:right="105" w:rightChars="5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Cs/>
                <w:color w:val="auto"/>
                <w:sz w:val="24"/>
                <w:szCs w:val="24"/>
                <w:lang w:val="en-US" w:eastAsia="zh-CN"/>
              </w:rPr>
              <w:t>1项</w:t>
            </w:r>
          </w:p>
        </w:tc>
      </w:tr>
      <w:tr w14:paraId="69E696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502" w:hRule="atLeast"/>
          <w:jc w:val="center"/>
        </w:trPr>
        <w:tc>
          <w:tcPr>
            <w:tcW w:w="94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558350D1">
            <w:pPr>
              <w:ind w:left="218" w:leftChars="104" w:right="105" w:rightChars="5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Cs/>
                <w:color w:val="auto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610CBEFC">
            <w:pPr>
              <w:ind w:left="218" w:leftChars="104" w:right="105" w:rightChars="5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b/>
                <w:i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Cs/>
                <w:color w:val="auto"/>
                <w:sz w:val="24"/>
                <w:szCs w:val="24"/>
                <w:lang w:val="en-US" w:eastAsia="zh-CN"/>
              </w:rPr>
              <w:t>运输、吊装、安装、调试服务</w:t>
            </w:r>
          </w:p>
        </w:tc>
        <w:tc>
          <w:tcPr>
            <w:tcW w:w="51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 w14:paraId="65AA7982">
            <w:pPr>
              <w:ind w:right="105" w:rightChars="50"/>
              <w:jc w:val="left"/>
              <w:rPr>
                <w:rFonts w:hint="default" w:asciiTheme="minorEastAsia" w:hAnsiTheme="minorEastAsia" w:eastAsiaTheme="minorEastAsia" w:cstheme="minorEastAsia"/>
                <w:bCs/>
                <w:color w:val="auto"/>
                <w:kern w:val="0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iCs/>
                <w:color w:val="auto"/>
                <w:sz w:val="24"/>
                <w:szCs w:val="24"/>
              </w:rPr>
              <w:t>①</w:t>
            </w:r>
            <w:r>
              <w:rPr>
                <w:rFonts w:hint="default" w:asciiTheme="minorEastAsia" w:hAnsiTheme="minorEastAsia" w:eastAsiaTheme="minorEastAsia" w:cstheme="minorEastAsia"/>
                <w:bCs/>
                <w:color w:val="auto"/>
                <w:kern w:val="0"/>
                <w:sz w:val="24"/>
                <w:szCs w:val="24"/>
                <w:shd w:val="clear" w:color="auto" w:fill="FFFFFF"/>
                <w:lang w:val="en-US" w:eastAsia="zh-CN"/>
              </w:rPr>
              <w:t>包含整套设备运输、吊车吊装、秤台拼接、传感器安装、线路布线、仪表电脑接线；</w:t>
            </w:r>
          </w:p>
          <w:p w14:paraId="00E0073C">
            <w:pPr>
              <w:ind w:right="105" w:rightChars="50"/>
              <w:jc w:val="left"/>
              <w:rPr>
                <w:rFonts w:hint="default" w:asciiTheme="minorEastAsia" w:hAnsiTheme="minorEastAsia" w:eastAsiaTheme="minorEastAsia" w:cstheme="minorEastAsia"/>
                <w:bCs/>
                <w:color w:val="auto"/>
                <w:kern w:val="0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iCs/>
                <w:color w:val="auto"/>
                <w:sz w:val="24"/>
                <w:szCs w:val="24"/>
              </w:rPr>
              <w:t>②</w:t>
            </w:r>
            <w:r>
              <w:rPr>
                <w:rFonts w:hint="default" w:asciiTheme="minorEastAsia" w:hAnsiTheme="minorEastAsia" w:eastAsiaTheme="minorEastAsia" w:cstheme="minorEastAsia"/>
                <w:bCs/>
                <w:color w:val="auto"/>
                <w:kern w:val="0"/>
                <w:sz w:val="24"/>
                <w:szCs w:val="24"/>
                <w:shd w:val="clear" w:color="auto" w:fill="FFFFFF"/>
                <w:lang w:val="en-US" w:eastAsia="zh-CN"/>
              </w:rPr>
              <w:t>整机通电调试、软件安装、参数标定、联网对接、磅单打印调试、操作人员现场培训；</w:t>
            </w:r>
          </w:p>
          <w:p w14:paraId="010D081C">
            <w:pPr>
              <w:ind w:right="105" w:rightChars="50"/>
              <w:jc w:val="left"/>
              <w:rPr>
                <w:rFonts w:hint="default" w:asciiTheme="minorEastAsia" w:hAnsiTheme="minorEastAsia" w:eastAsiaTheme="minorEastAsia" w:cstheme="minorEastAsia"/>
                <w:bCs/>
                <w:color w:val="auto"/>
                <w:kern w:val="0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iCs/>
                <w:color w:val="auto"/>
                <w:sz w:val="24"/>
                <w:szCs w:val="24"/>
              </w:rPr>
              <w:t>③</w:t>
            </w:r>
            <w:r>
              <w:rPr>
                <w:rFonts w:hint="default" w:asciiTheme="minorEastAsia" w:hAnsiTheme="minorEastAsia" w:eastAsiaTheme="minorEastAsia" w:cstheme="minorEastAsia"/>
                <w:bCs/>
                <w:color w:val="auto"/>
                <w:kern w:val="0"/>
                <w:sz w:val="24"/>
                <w:szCs w:val="24"/>
                <w:shd w:val="clear" w:color="auto" w:fill="FFFFFF"/>
                <w:lang w:val="en-US" w:eastAsia="zh-CN"/>
              </w:rPr>
              <w:t>完成整机空载、满载重复性校准，达到计量精度标准。</w:t>
            </w:r>
          </w:p>
        </w:tc>
        <w:tc>
          <w:tcPr>
            <w:tcW w:w="15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D73F66">
            <w:pPr>
              <w:ind w:right="105" w:rightChars="5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Cs/>
                <w:color w:val="auto"/>
                <w:sz w:val="24"/>
                <w:szCs w:val="24"/>
                <w:lang w:val="en-US" w:eastAsia="zh-CN"/>
              </w:rPr>
              <w:t>1项</w:t>
            </w:r>
          </w:p>
        </w:tc>
      </w:tr>
      <w:tr w14:paraId="6D7727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567" w:hRule="atLeast"/>
          <w:jc w:val="center"/>
        </w:trPr>
        <w:tc>
          <w:tcPr>
            <w:tcW w:w="94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auto"/>
            <w:vAlign w:val="center"/>
          </w:tcPr>
          <w:p w14:paraId="6FF11F91">
            <w:pPr>
              <w:ind w:left="218" w:leftChars="104" w:right="105" w:rightChars="5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Cs/>
                <w:color w:val="auto"/>
                <w:kern w:val="2"/>
                <w:sz w:val="24"/>
                <w:szCs w:val="24"/>
                <w:lang w:val="en-US" w:eastAsia="zh-CN" w:bidi="ar-SA"/>
              </w:rPr>
              <w:t>12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auto"/>
            <w:vAlign w:val="center"/>
          </w:tcPr>
          <w:p w14:paraId="6A5C38BA">
            <w:pPr>
              <w:ind w:left="218" w:leftChars="104" w:right="105" w:rightChars="5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b/>
                <w:i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Theme="minorEastAsia" w:hAnsiTheme="minorEastAsia" w:eastAsiaTheme="minorEastAsia" w:cstheme="minorEastAsia"/>
                <w:b/>
                <w:iCs/>
                <w:color w:val="auto"/>
                <w:kern w:val="2"/>
                <w:sz w:val="24"/>
                <w:szCs w:val="24"/>
                <w:lang w:val="en-US" w:eastAsia="zh-CN" w:bidi="ar-SA"/>
              </w:rPr>
              <w:t>首次计量检定服务</w:t>
            </w:r>
          </w:p>
        </w:tc>
        <w:tc>
          <w:tcPr>
            <w:tcW w:w="51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647BCE">
            <w:pPr>
              <w:ind w:right="105" w:rightChars="50"/>
              <w:jc w:val="left"/>
              <w:rPr>
                <w:rFonts w:hint="default" w:asciiTheme="minorEastAsia" w:hAnsiTheme="minorEastAsia" w:eastAsiaTheme="minorEastAsia" w:cstheme="minorEastAsia"/>
                <w:bCs/>
                <w:color w:val="auto"/>
                <w:kern w:val="0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iCs/>
                <w:color w:val="auto"/>
                <w:sz w:val="24"/>
                <w:szCs w:val="24"/>
              </w:rPr>
              <w:t>①</w:t>
            </w:r>
            <w:r>
              <w:rPr>
                <w:rFonts w:hint="default" w:asciiTheme="minorEastAsia" w:hAnsiTheme="minorEastAsia" w:eastAsiaTheme="minorEastAsia" w:cstheme="minorEastAsia"/>
                <w:bCs/>
                <w:color w:val="auto"/>
                <w:kern w:val="0"/>
                <w:sz w:val="24"/>
                <w:szCs w:val="24"/>
                <w:shd w:val="clear" w:color="auto" w:fill="FFFFFF"/>
                <w:lang w:val="en-US" w:eastAsia="zh-CN" w:bidi="ar-SA"/>
              </w:rPr>
              <w:t>由具备资质的第三方计量机构完成整机检定；</w:t>
            </w:r>
          </w:p>
          <w:p w14:paraId="39690B8D">
            <w:pPr>
              <w:ind w:right="105" w:rightChars="50"/>
              <w:jc w:val="left"/>
              <w:rPr>
                <w:rFonts w:hint="default" w:asciiTheme="minorEastAsia" w:hAnsiTheme="minorEastAsia" w:eastAsiaTheme="minorEastAsia" w:cstheme="minorEastAsia"/>
                <w:bCs/>
                <w:color w:val="auto"/>
                <w:kern w:val="0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iCs/>
                <w:color w:val="auto"/>
                <w:sz w:val="24"/>
                <w:szCs w:val="24"/>
              </w:rPr>
              <w:t>②</w:t>
            </w:r>
            <w:r>
              <w:rPr>
                <w:rFonts w:hint="default" w:asciiTheme="minorEastAsia" w:hAnsiTheme="minorEastAsia" w:eastAsiaTheme="minorEastAsia" w:cstheme="minorEastAsia"/>
                <w:bCs/>
                <w:color w:val="auto"/>
                <w:kern w:val="0"/>
                <w:sz w:val="24"/>
                <w:szCs w:val="24"/>
                <w:shd w:val="clear" w:color="auto" w:fill="FFFFFF"/>
                <w:lang w:val="en-US" w:eastAsia="zh-CN" w:bidi="ar-SA"/>
              </w:rPr>
              <w:t>交付完整检定记录、校准报告、计量合格证书，设备取得合法计量使用资质。</w:t>
            </w:r>
          </w:p>
        </w:tc>
        <w:tc>
          <w:tcPr>
            <w:tcW w:w="1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F1F7C3">
            <w:pPr>
              <w:ind w:right="105" w:rightChars="5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/>
                <w:i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Cs/>
                <w:color w:val="auto"/>
                <w:sz w:val="24"/>
                <w:szCs w:val="24"/>
                <w:lang w:val="en-US" w:eastAsia="zh-CN"/>
              </w:rPr>
              <w:t>1项</w:t>
            </w:r>
          </w:p>
        </w:tc>
      </w:tr>
      <w:tr w14:paraId="3194EC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54" w:hRule="atLeast"/>
          <w:jc w:val="center"/>
        </w:trPr>
        <w:tc>
          <w:tcPr>
            <w:tcW w:w="94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220FC767">
            <w:pPr>
              <w:ind w:left="218" w:leftChars="104" w:right="105" w:rightChars="5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Cs/>
                <w:color w:val="auto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75B0B31A">
            <w:pPr>
              <w:ind w:left="218" w:leftChars="104" w:right="105" w:rightChars="5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b/>
                <w:i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Cs/>
                <w:color w:val="auto"/>
                <w:sz w:val="24"/>
                <w:szCs w:val="24"/>
                <w:lang w:val="en-US" w:eastAsia="zh-CN"/>
              </w:rPr>
              <w:t>其他费用</w:t>
            </w:r>
          </w:p>
        </w:tc>
        <w:tc>
          <w:tcPr>
            <w:tcW w:w="51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94884F">
            <w:pPr>
              <w:ind w:right="105" w:rightChars="50"/>
              <w:jc w:val="left"/>
              <w:rPr>
                <w:rFonts w:hint="eastAsia" w:asciiTheme="minorEastAsia" w:hAnsiTheme="minorEastAsia" w:eastAsiaTheme="minorEastAsia" w:cstheme="minorEastAsia"/>
                <w:bCs/>
                <w:iCs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945129">
            <w:pPr>
              <w:ind w:right="105" w:rightChars="5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Cs/>
                <w:color w:val="auto"/>
                <w:sz w:val="24"/>
                <w:szCs w:val="24"/>
                <w:lang w:val="en-US" w:eastAsia="zh-CN"/>
              </w:rPr>
              <w:t>1项</w:t>
            </w:r>
          </w:p>
        </w:tc>
      </w:tr>
    </w:tbl>
    <w:p w14:paraId="2CDEC37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ˎ̥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c6ad59a1-d4c9-4cc4-9e86-b240c9251b9b</errorID>
      <errorWord>等全套配齐</errorWord>
      <group>L1_Grammar</group>
      <groupName>语法问题</groupName>
      <ability>L2_Grammar</ability>
      <abilityName>语法错误</abilityName>
      <candidateList>
        <item>等</item>
      </candidateList>
      <explain/>
      <paraID>3EE43FB0</paraID>
      <start>30</start>
      <end>35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5e206bb9-e359-4027-b478-b15508ae76a4}">
  <ds:schemaRefs/>
</ds:datastoreItem>
</file>